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9C3B4" w14:textId="2169AC24" w:rsidR="00E4505D" w:rsidRDefault="00104567" w:rsidP="00E953AE">
      <w:pPr>
        <w:spacing w:line="260" w:lineRule="atLeast"/>
        <w:rPr>
          <w:rFonts w:ascii="Arial" w:hAnsi="Arial" w:cs="Arial"/>
          <w:sz w:val="20"/>
          <w:szCs w:val="20"/>
        </w:rPr>
      </w:pPr>
      <w:r>
        <w:rPr>
          <w:rFonts w:ascii="Arial" w:hAnsi="Arial" w:cs="Arial"/>
          <w:sz w:val="20"/>
          <w:szCs w:val="20"/>
        </w:rPr>
        <w:t>L.S.</w:t>
      </w:r>
      <w:r w:rsidR="00E4505D">
        <w:rPr>
          <w:rFonts w:ascii="Arial" w:hAnsi="Arial" w:cs="Arial"/>
          <w:sz w:val="20"/>
          <w:szCs w:val="20"/>
        </w:rPr>
        <w:t xml:space="preserve">, </w:t>
      </w:r>
    </w:p>
    <w:p w14:paraId="58F85266" w14:textId="77777777" w:rsidR="00E4505D" w:rsidRDefault="00E4505D" w:rsidP="00E953AE">
      <w:pPr>
        <w:spacing w:line="260" w:lineRule="atLeast"/>
        <w:rPr>
          <w:rFonts w:ascii="Arial" w:hAnsi="Arial" w:cs="Arial"/>
          <w:sz w:val="20"/>
          <w:szCs w:val="20"/>
        </w:rPr>
      </w:pPr>
    </w:p>
    <w:p w14:paraId="6A3A2D40" w14:textId="71419E44" w:rsidR="00E953AE" w:rsidRDefault="000928BC" w:rsidP="00E953AE">
      <w:pPr>
        <w:spacing w:line="260" w:lineRule="atLeast"/>
        <w:rPr>
          <w:rFonts w:ascii="Arial" w:hAnsi="Arial" w:cs="Arial"/>
          <w:sz w:val="20"/>
          <w:szCs w:val="20"/>
        </w:rPr>
      </w:pPr>
      <w:r>
        <w:rPr>
          <w:rFonts w:ascii="Arial" w:hAnsi="Arial" w:cs="Arial"/>
          <w:sz w:val="20"/>
          <w:szCs w:val="20"/>
        </w:rPr>
        <w:t>We willen graag</w:t>
      </w:r>
      <w:r w:rsidR="00E953AE" w:rsidRPr="00E953AE">
        <w:rPr>
          <w:rFonts w:ascii="Arial" w:hAnsi="Arial" w:cs="Arial"/>
          <w:sz w:val="20"/>
          <w:szCs w:val="20"/>
        </w:rPr>
        <w:t xml:space="preserve"> een punt maken over de verordening die </w:t>
      </w:r>
      <w:r>
        <w:rPr>
          <w:rFonts w:ascii="Arial" w:hAnsi="Arial" w:cs="Arial"/>
          <w:sz w:val="20"/>
          <w:szCs w:val="20"/>
        </w:rPr>
        <w:t xml:space="preserve">we </w:t>
      </w:r>
      <w:r w:rsidR="00E953AE" w:rsidRPr="00E953AE">
        <w:rPr>
          <w:rFonts w:ascii="Arial" w:hAnsi="Arial" w:cs="Arial"/>
          <w:sz w:val="20"/>
          <w:szCs w:val="20"/>
        </w:rPr>
        <w:t xml:space="preserve">binnenkort gaan bespreken. Het is van groot belang dat we deze </w:t>
      </w:r>
      <w:r w:rsidR="00E953AE" w:rsidRPr="00E953AE">
        <w:rPr>
          <w:rFonts w:ascii="Arial" w:hAnsi="Arial" w:cs="Arial"/>
          <w:b/>
          <w:bCs/>
          <w:sz w:val="20"/>
          <w:szCs w:val="20"/>
          <w:u w:val="single"/>
        </w:rPr>
        <w:t>eerst toetsen aan het VN-Verdrag Handicap</w:t>
      </w:r>
      <w:r w:rsidR="00104567">
        <w:rPr>
          <w:rFonts w:ascii="Arial" w:hAnsi="Arial" w:cs="Arial"/>
          <w:b/>
          <w:bCs/>
          <w:sz w:val="20"/>
          <w:szCs w:val="20"/>
          <w:u w:val="single"/>
        </w:rPr>
        <w:t xml:space="preserve"> (zie link onderaan dit stuk)</w:t>
      </w:r>
      <w:r w:rsidR="00E953AE" w:rsidRPr="00E953AE">
        <w:rPr>
          <w:rFonts w:ascii="Arial" w:hAnsi="Arial" w:cs="Arial"/>
          <w:sz w:val="20"/>
          <w:szCs w:val="20"/>
        </w:rPr>
        <w:t>, voordat we deze definitief goedkeuren. We hebben als land verplichtingen die voortkomen uit dit verdrag, en die verplichtingen moeten we serieus nemen. Alleen zo kunnen we ervoor zorgen dat we daadwerkelijk een inclusieve samenleving creëren voor iedereen, inclusief mensen met een beperking.</w:t>
      </w:r>
    </w:p>
    <w:p w14:paraId="52E98838" w14:textId="77777777" w:rsidR="00685000" w:rsidRPr="00E953AE" w:rsidRDefault="00685000" w:rsidP="00E953AE">
      <w:pPr>
        <w:spacing w:line="260" w:lineRule="atLeast"/>
        <w:rPr>
          <w:rFonts w:ascii="Arial" w:hAnsi="Arial" w:cs="Arial"/>
          <w:sz w:val="20"/>
          <w:szCs w:val="20"/>
        </w:rPr>
      </w:pPr>
    </w:p>
    <w:p w14:paraId="54E6ED3B" w14:textId="636F3D62" w:rsidR="00E953AE" w:rsidRDefault="00E953AE" w:rsidP="00E953AE">
      <w:pPr>
        <w:spacing w:line="260" w:lineRule="atLeast"/>
        <w:rPr>
          <w:rFonts w:ascii="Arial" w:hAnsi="Arial" w:cs="Arial"/>
          <w:sz w:val="20"/>
          <w:szCs w:val="20"/>
        </w:rPr>
      </w:pPr>
      <w:r w:rsidRPr="00E953AE">
        <w:rPr>
          <w:rFonts w:ascii="Arial" w:hAnsi="Arial" w:cs="Arial"/>
          <w:sz w:val="20"/>
          <w:szCs w:val="20"/>
        </w:rPr>
        <w:t xml:space="preserve">Het VN-Verdrag Handicap is duidelijk: mensen met een beperking moeten gelijk behandeld worden en gelijke kansen krijgen. Dit betekent dat ze recht hebben op werk, onderwijs, gezondheidszorg en deelname aan het maatschappelijk leven, net als iedereen. Maar de vraag is: zorgt </w:t>
      </w:r>
      <w:r w:rsidR="00685000">
        <w:rPr>
          <w:rFonts w:ascii="Arial" w:hAnsi="Arial" w:cs="Arial"/>
          <w:sz w:val="20"/>
          <w:szCs w:val="20"/>
        </w:rPr>
        <w:t xml:space="preserve">deze </w:t>
      </w:r>
      <w:r w:rsidRPr="00E953AE">
        <w:rPr>
          <w:rFonts w:ascii="Arial" w:hAnsi="Arial" w:cs="Arial"/>
          <w:sz w:val="20"/>
          <w:szCs w:val="20"/>
        </w:rPr>
        <w:t>verordening ervoor dat deze rechten volledig worden gewaarborgd?</w:t>
      </w:r>
    </w:p>
    <w:p w14:paraId="4377C0D2" w14:textId="77777777" w:rsidR="00685000" w:rsidRPr="00E953AE" w:rsidRDefault="00685000" w:rsidP="00E953AE">
      <w:pPr>
        <w:spacing w:line="260" w:lineRule="atLeast"/>
        <w:rPr>
          <w:rFonts w:ascii="Arial" w:hAnsi="Arial" w:cs="Arial"/>
          <w:sz w:val="20"/>
          <w:szCs w:val="20"/>
        </w:rPr>
      </w:pPr>
    </w:p>
    <w:p w14:paraId="3A27C960" w14:textId="77777777" w:rsidR="00E953AE" w:rsidRDefault="00E953AE" w:rsidP="00E953AE">
      <w:pPr>
        <w:spacing w:line="260" w:lineRule="atLeast"/>
        <w:rPr>
          <w:rFonts w:ascii="Arial" w:hAnsi="Arial" w:cs="Arial"/>
          <w:sz w:val="20"/>
          <w:szCs w:val="20"/>
        </w:rPr>
      </w:pPr>
      <w:r w:rsidRPr="00E953AE">
        <w:rPr>
          <w:rFonts w:ascii="Arial" w:hAnsi="Arial" w:cs="Arial"/>
          <w:b/>
          <w:bCs/>
          <w:sz w:val="20"/>
          <w:szCs w:val="20"/>
        </w:rPr>
        <w:t>Gelijkheid en non-discriminatie</w:t>
      </w:r>
      <w:r w:rsidRPr="00E953AE">
        <w:rPr>
          <w:rFonts w:ascii="Arial" w:hAnsi="Arial" w:cs="Arial"/>
          <w:sz w:val="20"/>
          <w:szCs w:val="20"/>
        </w:rPr>
        <w:t xml:space="preserve"> zijn de kern van het verdrag. De verordening zegt wel dat mensen met een beperking toegang moeten hebben tot voorzieningen, maar legt niet genoeg de nadruk op het voorkomen van uitsluiting door bijvoorbeeld ontoereikende aanpassingen. Begrippen zoals ‘gebruikelijke hulp’ kunnen er bijvoorbeeld voor zorgen dat mensen onterecht geen ondersteuning krijgen, omdat ze niet voldoen aan standaardverwachtingen. Dit kan in de praktijk leiden tot discriminatie.</w:t>
      </w:r>
    </w:p>
    <w:p w14:paraId="312B8181" w14:textId="77777777" w:rsidR="00685000" w:rsidRPr="00E953AE" w:rsidRDefault="00685000" w:rsidP="00E953AE">
      <w:pPr>
        <w:spacing w:line="260" w:lineRule="atLeast"/>
        <w:rPr>
          <w:rFonts w:ascii="Arial" w:hAnsi="Arial" w:cs="Arial"/>
          <w:sz w:val="20"/>
          <w:szCs w:val="20"/>
        </w:rPr>
      </w:pPr>
    </w:p>
    <w:p w14:paraId="236532A8" w14:textId="77777777" w:rsidR="00E953AE" w:rsidRDefault="00E953AE" w:rsidP="00E953AE">
      <w:pPr>
        <w:spacing w:line="260" w:lineRule="atLeast"/>
        <w:rPr>
          <w:rFonts w:ascii="Arial" w:hAnsi="Arial" w:cs="Arial"/>
          <w:sz w:val="20"/>
          <w:szCs w:val="20"/>
        </w:rPr>
      </w:pPr>
      <w:r w:rsidRPr="00E953AE">
        <w:rPr>
          <w:rFonts w:ascii="Arial" w:hAnsi="Arial" w:cs="Arial"/>
          <w:sz w:val="20"/>
          <w:szCs w:val="20"/>
        </w:rPr>
        <w:t xml:space="preserve">Ook op het gebied van </w:t>
      </w:r>
      <w:r w:rsidRPr="00E953AE">
        <w:rPr>
          <w:rFonts w:ascii="Arial" w:hAnsi="Arial" w:cs="Arial"/>
          <w:b/>
          <w:bCs/>
          <w:sz w:val="20"/>
          <w:szCs w:val="20"/>
        </w:rPr>
        <w:t>toegankelijkheid</w:t>
      </w:r>
      <w:r w:rsidRPr="00E953AE">
        <w:rPr>
          <w:rFonts w:ascii="Arial" w:hAnsi="Arial" w:cs="Arial"/>
          <w:sz w:val="20"/>
          <w:szCs w:val="20"/>
        </w:rPr>
        <w:t xml:space="preserve"> schiet de verordening te kort. Het verdrag stelt dat toegang tot gebouwen, informatie en communicatie essentieel is. Dit betekent dat we niet alleen moeten denken aan fysieke toegankelijkheid, zoals rolstoeltoegankelijke ingangen, maar ook aan zaken als gebarentaal en toegankelijke digitale informatie. De verordening maakt hier echter niet genoeg ruimte voor, wat betekent dat we mensen met een beperking in de praktijk mogelijk uitsluiten.</w:t>
      </w:r>
    </w:p>
    <w:p w14:paraId="3470D14E" w14:textId="77777777" w:rsidR="00685000" w:rsidRPr="00E953AE" w:rsidRDefault="00685000" w:rsidP="00E953AE">
      <w:pPr>
        <w:spacing w:line="260" w:lineRule="atLeast"/>
        <w:rPr>
          <w:rFonts w:ascii="Arial" w:hAnsi="Arial" w:cs="Arial"/>
          <w:sz w:val="20"/>
          <w:szCs w:val="20"/>
        </w:rPr>
      </w:pPr>
    </w:p>
    <w:p w14:paraId="7C551525" w14:textId="77777777" w:rsidR="00E953AE" w:rsidRDefault="00E953AE" w:rsidP="00E953AE">
      <w:pPr>
        <w:spacing w:line="260" w:lineRule="atLeast"/>
        <w:rPr>
          <w:rFonts w:ascii="Arial" w:hAnsi="Arial" w:cs="Arial"/>
          <w:sz w:val="20"/>
          <w:szCs w:val="20"/>
        </w:rPr>
      </w:pPr>
      <w:r w:rsidRPr="00E953AE">
        <w:rPr>
          <w:rFonts w:ascii="Arial" w:hAnsi="Arial" w:cs="Arial"/>
          <w:sz w:val="20"/>
          <w:szCs w:val="20"/>
        </w:rPr>
        <w:t xml:space="preserve">Als het gaat om </w:t>
      </w:r>
      <w:r w:rsidRPr="00E953AE">
        <w:rPr>
          <w:rFonts w:ascii="Arial" w:hAnsi="Arial" w:cs="Arial"/>
          <w:b/>
          <w:bCs/>
          <w:sz w:val="20"/>
          <w:szCs w:val="20"/>
        </w:rPr>
        <w:t>zelfstandig wonen en participatie in de samenleving</w:t>
      </w:r>
      <w:r w:rsidRPr="00E953AE">
        <w:rPr>
          <w:rFonts w:ascii="Arial" w:hAnsi="Arial" w:cs="Arial"/>
          <w:sz w:val="20"/>
          <w:szCs w:val="20"/>
        </w:rPr>
        <w:t xml:space="preserve"> gaat het VN-Verdrag verder dan alleen het recht om zelfstandig te wonen. Het betekent dat mensen met een beperking de juiste ondersteuning moeten krijgen om volwaardig deel te nemen aan de samenleving. Maar de verordening legt bijvoorbeeld grenzen op aan vervoer (zoals een maximum aantal kilometers per jaar), wat de zelfstandigheid van mensen kan belemmeren. Dit soort beperkingen moet worden herzien als we echt willen dat mensen met een beperking de kans krijgen om volwaardig mee te doen.</w:t>
      </w:r>
    </w:p>
    <w:p w14:paraId="7D664A80" w14:textId="77777777" w:rsidR="00685000" w:rsidRPr="00E953AE" w:rsidRDefault="00685000" w:rsidP="00E953AE">
      <w:pPr>
        <w:spacing w:line="260" w:lineRule="atLeast"/>
        <w:rPr>
          <w:rFonts w:ascii="Arial" w:hAnsi="Arial" w:cs="Arial"/>
          <w:sz w:val="20"/>
          <w:szCs w:val="20"/>
        </w:rPr>
      </w:pPr>
    </w:p>
    <w:p w14:paraId="67191C88" w14:textId="77777777" w:rsidR="00E953AE" w:rsidRDefault="00E953AE" w:rsidP="00E953AE">
      <w:pPr>
        <w:spacing w:line="260" w:lineRule="atLeast"/>
        <w:rPr>
          <w:rFonts w:ascii="Arial" w:hAnsi="Arial" w:cs="Arial"/>
          <w:sz w:val="20"/>
          <w:szCs w:val="20"/>
        </w:rPr>
      </w:pPr>
      <w:r w:rsidRPr="00E953AE">
        <w:rPr>
          <w:rFonts w:ascii="Arial" w:hAnsi="Arial" w:cs="Arial"/>
          <w:b/>
          <w:bCs/>
          <w:sz w:val="20"/>
          <w:szCs w:val="20"/>
        </w:rPr>
        <w:t>Persoonlijke mobiliteit</w:t>
      </w:r>
      <w:r w:rsidRPr="00E953AE">
        <w:rPr>
          <w:rFonts w:ascii="Arial" w:hAnsi="Arial" w:cs="Arial"/>
          <w:sz w:val="20"/>
          <w:szCs w:val="20"/>
        </w:rPr>
        <w:t xml:space="preserve"> is een ander belangrijk recht volgens het verdrag. Mensen met een beperking moeten zich vrij kunnen bewegen. Dit kan betekenen dat ze toegang moeten hebben tot speciaal vervoer of dat het openbaar vervoer toegankelijk moet zijn. De verordening houdt hier echter niet voldoende rekening mee. Er zijn te veel regels die mobiliteit beperken, bijvoorbeeld door een gebrek aan flexibiliteit in de vervoersvoorzieningen.</w:t>
      </w:r>
    </w:p>
    <w:p w14:paraId="03A7B18C" w14:textId="77777777" w:rsidR="00950F5A" w:rsidRPr="00E953AE" w:rsidRDefault="00950F5A" w:rsidP="00E953AE">
      <w:pPr>
        <w:spacing w:line="260" w:lineRule="atLeast"/>
        <w:rPr>
          <w:rFonts w:ascii="Arial" w:hAnsi="Arial" w:cs="Arial"/>
          <w:sz w:val="20"/>
          <w:szCs w:val="20"/>
        </w:rPr>
      </w:pPr>
    </w:p>
    <w:p w14:paraId="4968836B" w14:textId="77777777" w:rsidR="00E953AE" w:rsidRDefault="00E953AE" w:rsidP="00E953AE">
      <w:pPr>
        <w:spacing w:line="260" w:lineRule="atLeast"/>
        <w:rPr>
          <w:rFonts w:ascii="Arial" w:hAnsi="Arial" w:cs="Arial"/>
          <w:sz w:val="20"/>
          <w:szCs w:val="20"/>
        </w:rPr>
      </w:pPr>
      <w:r w:rsidRPr="00E953AE">
        <w:rPr>
          <w:rFonts w:ascii="Arial" w:hAnsi="Arial" w:cs="Arial"/>
          <w:sz w:val="20"/>
          <w:szCs w:val="20"/>
        </w:rPr>
        <w:t xml:space="preserve">Ook op het gebied van </w:t>
      </w:r>
      <w:r w:rsidRPr="00E953AE">
        <w:rPr>
          <w:rFonts w:ascii="Arial" w:hAnsi="Arial" w:cs="Arial"/>
          <w:b/>
          <w:bCs/>
          <w:sz w:val="20"/>
          <w:szCs w:val="20"/>
        </w:rPr>
        <w:t>sociale bescherming en een toereikende levensstandaard</w:t>
      </w:r>
      <w:r w:rsidRPr="00E953AE">
        <w:rPr>
          <w:rFonts w:ascii="Arial" w:hAnsi="Arial" w:cs="Arial"/>
          <w:sz w:val="20"/>
          <w:szCs w:val="20"/>
        </w:rPr>
        <w:t xml:space="preserve"> is er nog werk te doen. Het verdrag zegt dat mensen met een beperking recht hebben op een leven waarin hun basisbehoeften worden vervuld. De verordening gaat wel uit van ‘eigen kracht’ en ‘gebruikelijke hulp’, maar deze begrippen zijn vaak niet duidelijk genoeg gedefinieerd, wat in de praktijk kan leiden tot onvoldoende ondersteuning voor mensen die het hardst hulp nodig hebben.</w:t>
      </w:r>
    </w:p>
    <w:p w14:paraId="329A973E" w14:textId="77777777" w:rsidR="00950F5A" w:rsidRPr="00E953AE" w:rsidRDefault="00950F5A" w:rsidP="00E953AE">
      <w:pPr>
        <w:spacing w:line="260" w:lineRule="atLeast"/>
        <w:rPr>
          <w:rFonts w:ascii="Arial" w:hAnsi="Arial" w:cs="Arial"/>
          <w:sz w:val="20"/>
          <w:szCs w:val="20"/>
        </w:rPr>
      </w:pPr>
    </w:p>
    <w:p w14:paraId="4773A73A" w14:textId="56911C6B" w:rsidR="00E953AE" w:rsidRDefault="00E953AE" w:rsidP="00E953AE">
      <w:pPr>
        <w:spacing w:line="260" w:lineRule="atLeast"/>
        <w:rPr>
          <w:rFonts w:ascii="Arial" w:hAnsi="Arial" w:cs="Arial"/>
          <w:sz w:val="20"/>
          <w:szCs w:val="20"/>
        </w:rPr>
      </w:pPr>
      <w:r w:rsidRPr="00E953AE">
        <w:rPr>
          <w:rFonts w:ascii="Arial" w:hAnsi="Arial" w:cs="Arial"/>
          <w:sz w:val="20"/>
          <w:szCs w:val="20"/>
        </w:rPr>
        <w:t xml:space="preserve">Als we deze punten op een rijtje zetten, wordt duidelijk dat de verordening zoals die nu voorligt, niet volledig in lijn </w:t>
      </w:r>
      <w:r w:rsidR="00E937C3">
        <w:rPr>
          <w:rFonts w:ascii="Arial" w:hAnsi="Arial" w:cs="Arial"/>
          <w:sz w:val="20"/>
          <w:szCs w:val="20"/>
        </w:rPr>
        <w:t>lijkt te liggen</w:t>
      </w:r>
      <w:r w:rsidRPr="00E953AE">
        <w:rPr>
          <w:rFonts w:ascii="Arial" w:hAnsi="Arial" w:cs="Arial"/>
          <w:sz w:val="20"/>
          <w:szCs w:val="20"/>
        </w:rPr>
        <w:t xml:space="preserve"> met de verplichtingen die we hebben op basis van het VN-Verdrag Handicap. </w:t>
      </w:r>
      <w:r w:rsidR="00E937C3">
        <w:rPr>
          <w:rFonts w:ascii="Arial" w:hAnsi="Arial" w:cs="Arial"/>
          <w:sz w:val="20"/>
          <w:szCs w:val="20"/>
        </w:rPr>
        <w:t xml:space="preserve">Wij willen daarom bespreken of er aanpassingen nodig zijn in de verordening, zodat we daadwerkelijk </w:t>
      </w:r>
      <w:r w:rsidRPr="00E953AE">
        <w:rPr>
          <w:rFonts w:ascii="Arial" w:hAnsi="Arial" w:cs="Arial"/>
          <w:sz w:val="20"/>
          <w:szCs w:val="20"/>
        </w:rPr>
        <w:t>voldoen aan de normen die het verdrag stelt.</w:t>
      </w:r>
      <w:r w:rsidR="00E937C3">
        <w:rPr>
          <w:rFonts w:ascii="Arial" w:hAnsi="Arial" w:cs="Arial"/>
          <w:sz w:val="20"/>
          <w:szCs w:val="20"/>
        </w:rPr>
        <w:t xml:space="preserve"> </w:t>
      </w:r>
      <w:r w:rsidRPr="00E953AE">
        <w:rPr>
          <w:rFonts w:ascii="Arial" w:hAnsi="Arial" w:cs="Arial"/>
          <w:sz w:val="20"/>
          <w:szCs w:val="20"/>
        </w:rPr>
        <w:t>Daarom wil ik u oproepen om de verordening eerst</w:t>
      </w:r>
      <w:r w:rsidR="00E937C3">
        <w:rPr>
          <w:rFonts w:ascii="Arial" w:hAnsi="Arial" w:cs="Arial"/>
          <w:sz w:val="20"/>
          <w:szCs w:val="20"/>
        </w:rPr>
        <w:t xml:space="preserve"> (nogmaals?)</w:t>
      </w:r>
      <w:r w:rsidRPr="00E953AE">
        <w:rPr>
          <w:rFonts w:ascii="Arial" w:hAnsi="Arial" w:cs="Arial"/>
          <w:sz w:val="20"/>
          <w:szCs w:val="20"/>
        </w:rPr>
        <w:t xml:space="preserve"> goed te toetsen aan het VN-Verdrag Handicap, voordat we deze definitief goedkeuren. Als we dat doen, zorgen we ervoor dat we een verordening hebben die niet alleen wettelijk klopt, maar ook echt bijdraagt aan een samenleving waarin iedereen, ongeacht beperking, gelijke kansen heeft. Pas dan kunnen we er zeker van zijn dat we daadwerkelijk inclusief zijn.</w:t>
      </w:r>
    </w:p>
    <w:p w14:paraId="6909071C" w14:textId="77777777" w:rsidR="00E937C3" w:rsidRPr="00E953AE" w:rsidRDefault="00E937C3" w:rsidP="00E953AE">
      <w:pPr>
        <w:spacing w:line="260" w:lineRule="atLeast"/>
        <w:rPr>
          <w:rFonts w:ascii="Arial" w:hAnsi="Arial" w:cs="Arial"/>
          <w:sz w:val="20"/>
          <w:szCs w:val="20"/>
        </w:rPr>
      </w:pPr>
    </w:p>
    <w:p w14:paraId="3AE34412" w14:textId="77777777" w:rsidR="00E953AE" w:rsidRPr="00E953AE" w:rsidRDefault="00E953AE" w:rsidP="00E953AE">
      <w:pPr>
        <w:spacing w:line="260" w:lineRule="atLeast"/>
        <w:rPr>
          <w:rFonts w:ascii="Arial" w:hAnsi="Arial" w:cs="Arial"/>
          <w:sz w:val="20"/>
          <w:szCs w:val="20"/>
        </w:rPr>
      </w:pPr>
      <w:r w:rsidRPr="00E953AE">
        <w:rPr>
          <w:rFonts w:ascii="Arial" w:hAnsi="Arial" w:cs="Arial"/>
          <w:sz w:val="20"/>
          <w:szCs w:val="20"/>
        </w:rPr>
        <w:lastRenderedPageBreak/>
        <w:t>Laten we ervoor zorgen dat we de juiste stappen zetten, zodat niemand wordt uitgesloten en iedereen volwaardig kan deelnemen aan onze samenleving. Dat is de samenleving waar we voor moeten staan.</w:t>
      </w:r>
    </w:p>
    <w:p w14:paraId="0FAD8B90" w14:textId="77777777" w:rsidR="002A55BB" w:rsidRDefault="002A55BB" w:rsidP="00E953AE">
      <w:pPr>
        <w:spacing w:line="260" w:lineRule="atLeast"/>
        <w:rPr>
          <w:rFonts w:ascii="Arial" w:hAnsi="Arial" w:cs="Arial"/>
          <w:sz w:val="20"/>
          <w:szCs w:val="20"/>
        </w:rPr>
      </w:pPr>
    </w:p>
    <w:p w14:paraId="131EC641" w14:textId="3A81BCAF" w:rsidR="000928BC" w:rsidRDefault="005B71C5" w:rsidP="00E953AE">
      <w:pPr>
        <w:spacing w:line="260" w:lineRule="atLeast"/>
        <w:rPr>
          <w:rFonts w:ascii="Arial" w:hAnsi="Arial" w:cs="Arial"/>
          <w:b/>
          <w:bCs/>
          <w:sz w:val="20"/>
          <w:szCs w:val="20"/>
        </w:rPr>
      </w:pPr>
      <w:r w:rsidRPr="005B71C5">
        <w:rPr>
          <w:rFonts w:ascii="Arial" w:hAnsi="Arial" w:cs="Arial"/>
          <w:b/>
          <w:bCs/>
          <w:sz w:val="20"/>
          <w:szCs w:val="20"/>
        </w:rPr>
        <w:t xml:space="preserve">“Inclusie is geen keuze, maar een verplichting die voortkomt uit ons VN-verdrag. Het recente VN-rapport benadrukt dat de tijd van vrijblijvendheid voorbij is. Alleen door concrete verbeteringen door te voeren, kunnen we ongelijkheid bestrijden en een samenleving </w:t>
      </w:r>
      <w:proofErr w:type="spellStart"/>
      <w:r w:rsidRPr="005B71C5">
        <w:rPr>
          <w:rFonts w:ascii="Arial" w:hAnsi="Arial" w:cs="Arial"/>
          <w:b/>
          <w:bCs/>
          <w:sz w:val="20"/>
          <w:szCs w:val="20"/>
        </w:rPr>
        <w:t>creeren</w:t>
      </w:r>
      <w:proofErr w:type="spellEnd"/>
      <w:r w:rsidRPr="005B71C5">
        <w:rPr>
          <w:rFonts w:ascii="Arial" w:hAnsi="Arial" w:cs="Arial"/>
          <w:b/>
          <w:bCs/>
          <w:sz w:val="20"/>
          <w:szCs w:val="20"/>
        </w:rPr>
        <w:t xml:space="preserve"> waarin iedereen volwaardig kan meedoen”</w:t>
      </w:r>
    </w:p>
    <w:p w14:paraId="3D84BCD0" w14:textId="77777777" w:rsidR="005B71C5" w:rsidRDefault="005B71C5" w:rsidP="00E953AE">
      <w:pPr>
        <w:spacing w:line="260" w:lineRule="atLeast"/>
        <w:rPr>
          <w:rFonts w:ascii="Arial" w:hAnsi="Arial" w:cs="Arial"/>
          <w:b/>
          <w:bCs/>
          <w:sz w:val="20"/>
          <w:szCs w:val="20"/>
        </w:rPr>
      </w:pPr>
    </w:p>
    <w:p w14:paraId="1448BDAB" w14:textId="5C1FEEF1" w:rsidR="005B71C5" w:rsidRDefault="005B71C5" w:rsidP="00E953AE">
      <w:pPr>
        <w:spacing w:line="260" w:lineRule="atLeast"/>
        <w:rPr>
          <w:rFonts w:ascii="Arial" w:hAnsi="Arial" w:cs="Arial"/>
          <w:sz w:val="20"/>
          <w:szCs w:val="20"/>
        </w:rPr>
      </w:pPr>
    </w:p>
    <w:p w14:paraId="3E25DB29" w14:textId="27AB0E89" w:rsidR="005B71C5" w:rsidRPr="005B71C5" w:rsidRDefault="005B71C5" w:rsidP="00E953AE">
      <w:pPr>
        <w:spacing w:line="260" w:lineRule="atLeast"/>
        <w:rPr>
          <w:rFonts w:ascii="Arial" w:hAnsi="Arial" w:cs="Arial"/>
          <w:b/>
          <w:bCs/>
          <w:sz w:val="32"/>
          <w:szCs w:val="32"/>
        </w:rPr>
      </w:pPr>
      <w:r w:rsidRPr="005B71C5">
        <w:rPr>
          <w:rFonts w:ascii="Arial" w:hAnsi="Arial" w:cs="Arial"/>
          <w:b/>
          <w:bCs/>
          <w:sz w:val="32"/>
          <w:szCs w:val="32"/>
        </w:rPr>
        <w:t xml:space="preserve">Onderbouwing betoog </w:t>
      </w:r>
    </w:p>
    <w:p w14:paraId="57D062FF" w14:textId="77777777" w:rsidR="008E2682" w:rsidRDefault="008E2682" w:rsidP="00E953AE">
      <w:pPr>
        <w:spacing w:line="260" w:lineRule="atLeast"/>
        <w:rPr>
          <w:rFonts w:ascii="Arial" w:hAnsi="Arial" w:cs="Arial"/>
          <w:sz w:val="20"/>
          <w:szCs w:val="20"/>
        </w:rPr>
      </w:pPr>
    </w:p>
    <w:p w14:paraId="3BC63ADC" w14:textId="34BC21C3" w:rsidR="00861C0A" w:rsidRPr="005B71C5" w:rsidRDefault="00861C0A" w:rsidP="001A7048">
      <w:pPr>
        <w:pStyle w:val="Lijstalinea"/>
        <w:numPr>
          <w:ilvl w:val="0"/>
          <w:numId w:val="4"/>
        </w:numPr>
        <w:spacing w:line="260" w:lineRule="atLeast"/>
        <w:rPr>
          <w:rFonts w:ascii="Arial" w:hAnsi="Arial" w:cs="Arial"/>
          <w:b/>
          <w:bCs/>
          <w:sz w:val="24"/>
          <w:szCs w:val="24"/>
        </w:rPr>
      </w:pPr>
      <w:r w:rsidRPr="005B71C5">
        <w:rPr>
          <w:rFonts w:ascii="Arial" w:hAnsi="Arial" w:cs="Arial"/>
          <w:b/>
          <w:bCs/>
          <w:sz w:val="24"/>
          <w:szCs w:val="24"/>
        </w:rPr>
        <w:t xml:space="preserve">Hoe scoort de verordening WMO op het VN verdrag Handicap? </w:t>
      </w:r>
    </w:p>
    <w:p w14:paraId="565B953A" w14:textId="77777777" w:rsidR="00861C0A" w:rsidRPr="00B76884" w:rsidRDefault="00861C0A" w:rsidP="007620FB">
      <w:pPr>
        <w:spacing w:line="260" w:lineRule="atLeast"/>
        <w:rPr>
          <w:rFonts w:ascii="Arial" w:hAnsi="Arial" w:cs="Arial"/>
          <w:sz w:val="20"/>
          <w:szCs w:val="20"/>
        </w:rPr>
      </w:pPr>
    </w:p>
    <w:tbl>
      <w:tblPr>
        <w:tblStyle w:val="Tabelraster"/>
        <w:tblW w:w="0" w:type="auto"/>
        <w:tblLook w:val="04A0" w:firstRow="1" w:lastRow="0" w:firstColumn="1" w:lastColumn="0" w:noHBand="0" w:noVBand="1"/>
      </w:tblPr>
      <w:tblGrid>
        <w:gridCol w:w="2518"/>
        <w:gridCol w:w="3169"/>
        <w:gridCol w:w="3154"/>
        <w:gridCol w:w="787"/>
      </w:tblGrid>
      <w:tr w:rsidR="00861C0A" w:rsidRPr="00B76884" w14:paraId="79626E46" w14:textId="77777777" w:rsidTr="00861C0A">
        <w:tc>
          <w:tcPr>
            <w:tcW w:w="3606" w:type="dxa"/>
          </w:tcPr>
          <w:p w14:paraId="705EA2FB" w14:textId="0ABE71EB" w:rsidR="00861C0A" w:rsidRPr="00B76884" w:rsidRDefault="00861C0A" w:rsidP="007620FB">
            <w:pPr>
              <w:spacing w:line="260" w:lineRule="atLeast"/>
              <w:rPr>
                <w:rFonts w:ascii="Arial" w:hAnsi="Arial" w:cs="Arial"/>
                <w:sz w:val="20"/>
                <w:szCs w:val="20"/>
              </w:rPr>
            </w:pPr>
            <w:r w:rsidRPr="00B76884">
              <w:rPr>
                <w:rFonts w:ascii="Arial" w:hAnsi="Arial" w:cs="Arial"/>
                <w:sz w:val="20"/>
                <w:szCs w:val="20"/>
              </w:rPr>
              <w:t>Principe VN verdrag</w:t>
            </w:r>
          </w:p>
        </w:tc>
        <w:tc>
          <w:tcPr>
            <w:tcW w:w="4866" w:type="dxa"/>
          </w:tcPr>
          <w:p w14:paraId="799F6A0C" w14:textId="616BAB17" w:rsidR="00861C0A" w:rsidRPr="00B76884" w:rsidRDefault="00861C0A" w:rsidP="007620FB">
            <w:pPr>
              <w:spacing w:line="260" w:lineRule="atLeast"/>
              <w:rPr>
                <w:rFonts w:ascii="Arial" w:hAnsi="Arial" w:cs="Arial"/>
                <w:sz w:val="20"/>
                <w:szCs w:val="20"/>
              </w:rPr>
            </w:pPr>
            <w:r w:rsidRPr="00B76884">
              <w:rPr>
                <w:rFonts w:ascii="Arial" w:hAnsi="Arial" w:cs="Arial"/>
                <w:sz w:val="20"/>
                <w:szCs w:val="20"/>
              </w:rPr>
              <w:t>Beoordeling in de verordening</w:t>
            </w:r>
          </w:p>
        </w:tc>
        <w:tc>
          <w:tcPr>
            <w:tcW w:w="5103" w:type="dxa"/>
          </w:tcPr>
          <w:p w14:paraId="73B439BB" w14:textId="3D2E843F" w:rsidR="00861C0A" w:rsidRPr="00B76884" w:rsidRDefault="00861C0A" w:rsidP="007620FB">
            <w:pPr>
              <w:spacing w:line="260" w:lineRule="atLeast"/>
              <w:rPr>
                <w:rFonts w:ascii="Arial" w:hAnsi="Arial" w:cs="Arial"/>
                <w:sz w:val="20"/>
                <w:szCs w:val="20"/>
              </w:rPr>
            </w:pPr>
            <w:r w:rsidRPr="00B76884">
              <w:rPr>
                <w:rFonts w:ascii="Arial" w:hAnsi="Arial" w:cs="Arial"/>
                <w:sz w:val="20"/>
                <w:szCs w:val="20"/>
              </w:rPr>
              <w:t>Verbeterpunten</w:t>
            </w:r>
          </w:p>
        </w:tc>
        <w:tc>
          <w:tcPr>
            <w:tcW w:w="851" w:type="dxa"/>
          </w:tcPr>
          <w:p w14:paraId="6417A003" w14:textId="3211AF8E" w:rsidR="00861C0A" w:rsidRPr="00B76884" w:rsidRDefault="00861C0A" w:rsidP="007620FB">
            <w:pPr>
              <w:spacing w:line="260" w:lineRule="atLeast"/>
              <w:rPr>
                <w:rFonts w:ascii="Arial" w:hAnsi="Arial" w:cs="Arial"/>
                <w:sz w:val="20"/>
                <w:szCs w:val="20"/>
              </w:rPr>
            </w:pPr>
            <w:r w:rsidRPr="00B76884">
              <w:rPr>
                <w:rFonts w:ascii="Arial" w:hAnsi="Arial" w:cs="Arial"/>
                <w:sz w:val="20"/>
                <w:szCs w:val="20"/>
              </w:rPr>
              <w:t>Score</w:t>
            </w:r>
          </w:p>
        </w:tc>
      </w:tr>
      <w:tr w:rsidR="00861C0A" w:rsidRPr="00B76884" w14:paraId="14740967" w14:textId="77777777" w:rsidTr="00861C0A">
        <w:tc>
          <w:tcPr>
            <w:tcW w:w="3606" w:type="dxa"/>
          </w:tcPr>
          <w:p w14:paraId="502D75CE" w14:textId="121140D9" w:rsidR="00861C0A" w:rsidRPr="00B76884" w:rsidRDefault="00861C0A" w:rsidP="007620FB">
            <w:pPr>
              <w:spacing w:line="260" w:lineRule="atLeast"/>
              <w:rPr>
                <w:rFonts w:ascii="Arial" w:hAnsi="Arial" w:cs="Arial"/>
                <w:sz w:val="20"/>
                <w:szCs w:val="20"/>
              </w:rPr>
            </w:pPr>
            <w:r w:rsidRPr="00B76884">
              <w:rPr>
                <w:rFonts w:ascii="Arial" w:hAnsi="Arial" w:cs="Arial"/>
                <w:sz w:val="20"/>
                <w:szCs w:val="20"/>
              </w:rPr>
              <w:t>Artikel 5: Gelijkheid en non-discriminatie</w:t>
            </w:r>
          </w:p>
        </w:tc>
        <w:tc>
          <w:tcPr>
            <w:tcW w:w="4866" w:type="dxa"/>
          </w:tcPr>
          <w:p w14:paraId="7B0D3BC5" w14:textId="3E4A07AE" w:rsidR="00861C0A" w:rsidRPr="00B76884" w:rsidRDefault="00861C0A" w:rsidP="007620FB">
            <w:pPr>
              <w:spacing w:line="260" w:lineRule="atLeast"/>
              <w:rPr>
                <w:rFonts w:ascii="Arial" w:hAnsi="Arial" w:cs="Arial"/>
                <w:sz w:val="20"/>
                <w:szCs w:val="20"/>
              </w:rPr>
            </w:pPr>
            <w:r w:rsidRPr="00B76884">
              <w:rPr>
                <w:rFonts w:ascii="Arial" w:hAnsi="Arial" w:cs="Arial"/>
                <w:sz w:val="20"/>
                <w:szCs w:val="20"/>
              </w:rPr>
              <w:t>De verordening spreekt over gelijke toegang tot voorzieningen, maar maakt onvoldoende expliciet dat discriminatie door ontoereikende aanpassingen moet worden voorkomen. Bijv. de nadruk op “gebruikelijke hulp” kan mensen met beperkingen uitsluiten als hun situatie niet standaard is.</w:t>
            </w:r>
          </w:p>
        </w:tc>
        <w:tc>
          <w:tcPr>
            <w:tcW w:w="5103" w:type="dxa"/>
          </w:tcPr>
          <w:p w14:paraId="45BAEFE6" w14:textId="61BBB716" w:rsidR="00861C0A" w:rsidRPr="00B76884" w:rsidRDefault="00861C0A" w:rsidP="007620FB">
            <w:pPr>
              <w:spacing w:line="260" w:lineRule="atLeast"/>
              <w:rPr>
                <w:rFonts w:ascii="Arial" w:hAnsi="Arial" w:cs="Arial"/>
                <w:sz w:val="20"/>
                <w:szCs w:val="20"/>
              </w:rPr>
            </w:pPr>
            <w:r w:rsidRPr="00B76884">
              <w:rPr>
                <w:rFonts w:ascii="Arial" w:hAnsi="Arial" w:cs="Arial"/>
                <w:sz w:val="20"/>
                <w:szCs w:val="20"/>
              </w:rPr>
              <w:t>Specifiekere bepalingen over redelijke aanpassingen en het voorkomen van uitsluiting door gebruikelijke hulp.</w:t>
            </w:r>
          </w:p>
        </w:tc>
        <w:tc>
          <w:tcPr>
            <w:tcW w:w="851" w:type="dxa"/>
          </w:tcPr>
          <w:p w14:paraId="2F9223CC" w14:textId="3F778403" w:rsidR="00861C0A" w:rsidRPr="00B76884" w:rsidRDefault="00861C0A" w:rsidP="007620FB">
            <w:pPr>
              <w:spacing w:line="260" w:lineRule="atLeast"/>
              <w:rPr>
                <w:rFonts w:ascii="Arial" w:hAnsi="Arial" w:cs="Arial"/>
                <w:sz w:val="20"/>
                <w:szCs w:val="20"/>
              </w:rPr>
            </w:pPr>
            <w:r w:rsidRPr="00B76884">
              <w:rPr>
                <w:rFonts w:ascii="Arial" w:hAnsi="Arial" w:cs="Arial"/>
                <w:sz w:val="20"/>
                <w:szCs w:val="20"/>
              </w:rPr>
              <w:t>6/10</w:t>
            </w:r>
          </w:p>
        </w:tc>
      </w:tr>
      <w:tr w:rsidR="00861C0A" w:rsidRPr="00B76884" w14:paraId="1A7DA4E0" w14:textId="77777777" w:rsidTr="00861C0A">
        <w:tc>
          <w:tcPr>
            <w:tcW w:w="3606" w:type="dxa"/>
          </w:tcPr>
          <w:p w14:paraId="4299620D" w14:textId="0A8622E5" w:rsidR="00861C0A" w:rsidRPr="00B76884" w:rsidRDefault="00861C0A" w:rsidP="007620FB">
            <w:pPr>
              <w:spacing w:line="260" w:lineRule="atLeast"/>
              <w:rPr>
                <w:rFonts w:ascii="Arial" w:hAnsi="Arial" w:cs="Arial"/>
                <w:sz w:val="20"/>
                <w:szCs w:val="20"/>
              </w:rPr>
            </w:pPr>
            <w:r w:rsidRPr="00B76884">
              <w:rPr>
                <w:rFonts w:ascii="Arial" w:hAnsi="Arial" w:cs="Arial"/>
                <w:sz w:val="20"/>
                <w:szCs w:val="20"/>
              </w:rPr>
              <w:t>Artikel 9: Toegankelijkheid</w:t>
            </w:r>
          </w:p>
        </w:tc>
        <w:tc>
          <w:tcPr>
            <w:tcW w:w="4866" w:type="dxa"/>
          </w:tcPr>
          <w:p w14:paraId="115357F4" w14:textId="6C97C2F6" w:rsidR="00861C0A" w:rsidRPr="00B76884" w:rsidRDefault="00861C0A" w:rsidP="007620FB">
            <w:pPr>
              <w:spacing w:line="260" w:lineRule="atLeast"/>
              <w:rPr>
                <w:rFonts w:ascii="Arial" w:hAnsi="Arial" w:cs="Arial"/>
                <w:sz w:val="20"/>
                <w:szCs w:val="20"/>
              </w:rPr>
            </w:pPr>
            <w:r w:rsidRPr="00B76884">
              <w:rPr>
                <w:rFonts w:ascii="Arial" w:hAnsi="Arial" w:cs="Arial"/>
                <w:sz w:val="20"/>
                <w:szCs w:val="20"/>
              </w:rPr>
              <w:t>Toegankelijkheid wordt niet expliciet genoemd als eis voor communicatie, gebouwen, of diensten. Dit kan leiden tot praktische drempels voor mensen met een beperking bij toegang tot voorzieningen of bij gesprekken met het college.</w:t>
            </w:r>
          </w:p>
        </w:tc>
        <w:tc>
          <w:tcPr>
            <w:tcW w:w="5103" w:type="dxa"/>
          </w:tcPr>
          <w:p w14:paraId="4561ED34" w14:textId="2C2FD264" w:rsidR="00861C0A" w:rsidRPr="00B76884" w:rsidRDefault="00861C0A" w:rsidP="007620FB">
            <w:pPr>
              <w:spacing w:line="260" w:lineRule="atLeast"/>
              <w:rPr>
                <w:rFonts w:ascii="Arial" w:hAnsi="Arial" w:cs="Arial"/>
                <w:sz w:val="20"/>
                <w:szCs w:val="20"/>
              </w:rPr>
            </w:pPr>
            <w:r w:rsidRPr="00B76884">
              <w:rPr>
                <w:rFonts w:ascii="Arial" w:hAnsi="Arial" w:cs="Arial"/>
                <w:sz w:val="20"/>
                <w:szCs w:val="20"/>
              </w:rPr>
              <w:t>Toegankelijkheid opnemen als verplichting bij communicatie (bijv. toegankelijke taal, inzet van tolken) en fysieke toegang.</w:t>
            </w:r>
          </w:p>
        </w:tc>
        <w:tc>
          <w:tcPr>
            <w:tcW w:w="851" w:type="dxa"/>
          </w:tcPr>
          <w:p w14:paraId="58D5BB41" w14:textId="30AD243C" w:rsidR="00861C0A" w:rsidRPr="00B76884" w:rsidRDefault="00861C0A" w:rsidP="007620FB">
            <w:pPr>
              <w:spacing w:line="260" w:lineRule="atLeast"/>
              <w:rPr>
                <w:rFonts w:ascii="Arial" w:hAnsi="Arial" w:cs="Arial"/>
                <w:sz w:val="20"/>
                <w:szCs w:val="20"/>
              </w:rPr>
            </w:pPr>
            <w:r w:rsidRPr="00B76884">
              <w:rPr>
                <w:rFonts w:ascii="Arial" w:hAnsi="Arial" w:cs="Arial"/>
                <w:sz w:val="20"/>
                <w:szCs w:val="20"/>
              </w:rPr>
              <w:t>5/10</w:t>
            </w:r>
          </w:p>
        </w:tc>
      </w:tr>
      <w:tr w:rsidR="00861C0A" w:rsidRPr="00B76884" w14:paraId="3B54BA69" w14:textId="77777777" w:rsidTr="00861C0A">
        <w:tc>
          <w:tcPr>
            <w:tcW w:w="3606" w:type="dxa"/>
          </w:tcPr>
          <w:p w14:paraId="612AED4E" w14:textId="39549B7D" w:rsidR="00861C0A" w:rsidRPr="00B76884" w:rsidRDefault="00861C0A" w:rsidP="007620FB">
            <w:pPr>
              <w:spacing w:line="260" w:lineRule="atLeast"/>
              <w:rPr>
                <w:rFonts w:ascii="Arial" w:hAnsi="Arial" w:cs="Arial"/>
                <w:sz w:val="20"/>
                <w:szCs w:val="20"/>
              </w:rPr>
            </w:pPr>
            <w:r w:rsidRPr="00B76884">
              <w:rPr>
                <w:rFonts w:ascii="Arial" w:hAnsi="Arial" w:cs="Arial"/>
                <w:sz w:val="20"/>
                <w:szCs w:val="20"/>
              </w:rPr>
              <w:t>Artikel 19: Zelfstandig wonen en participatie in de samenleving</w:t>
            </w:r>
          </w:p>
        </w:tc>
        <w:tc>
          <w:tcPr>
            <w:tcW w:w="4866" w:type="dxa"/>
          </w:tcPr>
          <w:p w14:paraId="46DEB190" w14:textId="7481D6A2" w:rsidR="00861C0A" w:rsidRPr="00B76884" w:rsidRDefault="00D86E7D" w:rsidP="007620FB">
            <w:pPr>
              <w:spacing w:line="260" w:lineRule="atLeast"/>
              <w:rPr>
                <w:rFonts w:ascii="Arial" w:hAnsi="Arial" w:cs="Arial"/>
                <w:sz w:val="20"/>
                <w:szCs w:val="20"/>
              </w:rPr>
            </w:pPr>
            <w:r w:rsidRPr="00B76884">
              <w:rPr>
                <w:rFonts w:ascii="Arial" w:hAnsi="Arial" w:cs="Arial"/>
                <w:sz w:val="20"/>
                <w:szCs w:val="20"/>
              </w:rPr>
              <w:t>De verordening erkent het belang van zelfstandig wonen en participatie, maar stelt grenzen aan ondersteuning, zoals limieten op vervoer (1.850 km per jaar) en gebruikelijke hulp. Hierdoor kan zelfstandigheid en inclusie voor sommige cliënten in gevaar komen. </w:t>
            </w:r>
          </w:p>
        </w:tc>
        <w:tc>
          <w:tcPr>
            <w:tcW w:w="5103" w:type="dxa"/>
          </w:tcPr>
          <w:p w14:paraId="684EAE30" w14:textId="5F441847" w:rsidR="00861C0A" w:rsidRPr="00B76884" w:rsidRDefault="00D86E7D" w:rsidP="007620FB">
            <w:pPr>
              <w:spacing w:line="260" w:lineRule="atLeast"/>
              <w:rPr>
                <w:rFonts w:ascii="Arial" w:hAnsi="Arial" w:cs="Arial"/>
                <w:sz w:val="20"/>
                <w:szCs w:val="20"/>
              </w:rPr>
            </w:pPr>
            <w:r w:rsidRPr="00B76884">
              <w:rPr>
                <w:rFonts w:ascii="Arial" w:hAnsi="Arial" w:cs="Arial"/>
                <w:sz w:val="20"/>
                <w:szCs w:val="20"/>
              </w:rPr>
              <w:t>Vervoerslimieten aanpassen (bijv. naar 3.000 km), duidelijke grenzen stellen aan gebruikelijke hulp om overbelasting van mantelzorgers te voorkomen, en maatwerk voor participatie faciliteren.</w:t>
            </w:r>
          </w:p>
        </w:tc>
        <w:tc>
          <w:tcPr>
            <w:tcW w:w="851" w:type="dxa"/>
          </w:tcPr>
          <w:p w14:paraId="2D7D4F37" w14:textId="0A60E157" w:rsidR="00861C0A" w:rsidRPr="00B76884" w:rsidRDefault="00D86E7D" w:rsidP="007620FB">
            <w:pPr>
              <w:spacing w:line="260" w:lineRule="atLeast"/>
              <w:rPr>
                <w:rFonts w:ascii="Arial" w:hAnsi="Arial" w:cs="Arial"/>
                <w:sz w:val="20"/>
                <w:szCs w:val="20"/>
              </w:rPr>
            </w:pPr>
            <w:r w:rsidRPr="00B76884">
              <w:rPr>
                <w:rFonts w:ascii="Arial" w:hAnsi="Arial" w:cs="Arial"/>
                <w:sz w:val="20"/>
                <w:szCs w:val="20"/>
              </w:rPr>
              <w:t>7/10</w:t>
            </w:r>
          </w:p>
        </w:tc>
      </w:tr>
      <w:tr w:rsidR="00861C0A" w:rsidRPr="00B76884" w14:paraId="4D0EB4E8" w14:textId="77777777" w:rsidTr="00861C0A">
        <w:tc>
          <w:tcPr>
            <w:tcW w:w="3606" w:type="dxa"/>
          </w:tcPr>
          <w:p w14:paraId="3C802849" w14:textId="6B0571F0" w:rsidR="00861C0A" w:rsidRPr="00B76884" w:rsidRDefault="00D86E7D" w:rsidP="007620FB">
            <w:pPr>
              <w:spacing w:line="260" w:lineRule="atLeast"/>
              <w:rPr>
                <w:rFonts w:ascii="Arial" w:hAnsi="Arial" w:cs="Arial"/>
                <w:sz w:val="20"/>
                <w:szCs w:val="20"/>
              </w:rPr>
            </w:pPr>
            <w:r w:rsidRPr="00B76884">
              <w:rPr>
                <w:rFonts w:ascii="Arial" w:hAnsi="Arial" w:cs="Arial"/>
                <w:sz w:val="20"/>
                <w:szCs w:val="20"/>
              </w:rPr>
              <w:t>Artikel 20: Persoonlijke mobiliteit</w:t>
            </w:r>
          </w:p>
        </w:tc>
        <w:tc>
          <w:tcPr>
            <w:tcW w:w="4866" w:type="dxa"/>
          </w:tcPr>
          <w:p w14:paraId="1B963FB4" w14:textId="6375339B" w:rsidR="00861C0A" w:rsidRPr="00B76884" w:rsidRDefault="00D86E7D" w:rsidP="007620FB">
            <w:pPr>
              <w:spacing w:line="260" w:lineRule="atLeast"/>
              <w:rPr>
                <w:rFonts w:ascii="Arial" w:hAnsi="Arial" w:cs="Arial"/>
                <w:sz w:val="20"/>
                <w:szCs w:val="20"/>
              </w:rPr>
            </w:pPr>
            <w:r w:rsidRPr="00B76884">
              <w:rPr>
                <w:rFonts w:ascii="Arial" w:hAnsi="Arial" w:cs="Arial"/>
                <w:sz w:val="20"/>
                <w:szCs w:val="20"/>
              </w:rPr>
              <w:t>Mobiliteit wordt beperkt door lage kilometerlimieten en onvoldoende aandacht voor toegankelijk vervoer. Dit belemmert actieve participatie in de samenleving.</w:t>
            </w:r>
          </w:p>
        </w:tc>
        <w:tc>
          <w:tcPr>
            <w:tcW w:w="5103" w:type="dxa"/>
          </w:tcPr>
          <w:p w14:paraId="6E16A54B" w14:textId="7F8A6F83" w:rsidR="00861C0A" w:rsidRPr="00B76884" w:rsidRDefault="00D86E7D" w:rsidP="007620FB">
            <w:pPr>
              <w:spacing w:line="260" w:lineRule="atLeast"/>
              <w:rPr>
                <w:rFonts w:ascii="Arial" w:hAnsi="Arial" w:cs="Arial"/>
                <w:sz w:val="20"/>
                <w:szCs w:val="20"/>
              </w:rPr>
            </w:pPr>
            <w:r w:rsidRPr="00B76884">
              <w:rPr>
                <w:rFonts w:ascii="Arial" w:hAnsi="Arial" w:cs="Arial"/>
                <w:sz w:val="20"/>
                <w:szCs w:val="20"/>
              </w:rPr>
              <w:t>Verhoog het vervoersbudget, bied flexibele vervoersopties voor werk, dagbesteding en onderwijs</w:t>
            </w:r>
          </w:p>
        </w:tc>
        <w:tc>
          <w:tcPr>
            <w:tcW w:w="851" w:type="dxa"/>
          </w:tcPr>
          <w:p w14:paraId="75D02455" w14:textId="34081213" w:rsidR="00861C0A" w:rsidRPr="00B76884" w:rsidRDefault="00D86E7D" w:rsidP="007620FB">
            <w:pPr>
              <w:spacing w:line="260" w:lineRule="atLeast"/>
              <w:rPr>
                <w:rFonts w:ascii="Arial" w:hAnsi="Arial" w:cs="Arial"/>
                <w:sz w:val="20"/>
                <w:szCs w:val="20"/>
              </w:rPr>
            </w:pPr>
            <w:r w:rsidRPr="00B76884">
              <w:rPr>
                <w:rFonts w:ascii="Arial" w:hAnsi="Arial" w:cs="Arial"/>
                <w:sz w:val="20"/>
                <w:szCs w:val="20"/>
              </w:rPr>
              <w:t>5/10</w:t>
            </w:r>
          </w:p>
        </w:tc>
      </w:tr>
      <w:tr w:rsidR="00861C0A" w:rsidRPr="00B76884" w14:paraId="375383FF" w14:textId="77777777" w:rsidTr="00861C0A">
        <w:tc>
          <w:tcPr>
            <w:tcW w:w="3606" w:type="dxa"/>
          </w:tcPr>
          <w:p w14:paraId="483F1501" w14:textId="66968187" w:rsidR="00861C0A" w:rsidRPr="00B76884" w:rsidRDefault="00D86E7D" w:rsidP="007620FB">
            <w:pPr>
              <w:spacing w:line="260" w:lineRule="atLeast"/>
              <w:rPr>
                <w:rFonts w:ascii="Arial" w:hAnsi="Arial" w:cs="Arial"/>
                <w:sz w:val="20"/>
                <w:szCs w:val="20"/>
              </w:rPr>
            </w:pPr>
            <w:r w:rsidRPr="00B76884">
              <w:rPr>
                <w:rFonts w:ascii="Arial" w:hAnsi="Arial" w:cs="Arial"/>
                <w:sz w:val="20"/>
                <w:szCs w:val="20"/>
              </w:rPr>
              <w:t>Artikel 28: Toereikende levensstandaard en sociale bescherming </w:t>
            </w:r>
          </w:p>
        </w:tc>
        <w:tc>
          <w:tcPr>
            <w:tcW w:w="4866" w:type="dxa"/>
          </w:tcPr>
          <w:p w14:paraId="37159058" w14:textId="686DC778" w:rsidR="00861C0A" w:rsidRPr="00B76884" w:rsidRDefault="00D86E7D" w:rsidP="007620FB">
            <w:pPr>
              <w:spacing w:line="260" w:lineRule="atLeast"/>
              <w:rPr>
                <w:rFonts w:ascii="Arial" w:hAnsi="Arial" w:cs="Arial"/>
                <w:sz w:val="20"/>
                <w:szCs w:val="20"/>
              </w:rPr>
            </w:pPr>
            <w:r w:rsidRPr="00B76884">
              <w:rPr>
                <w:rFonts w:ascii="Arial" w:hAnsi="Arial" w:cs="Arial"/>
                <w:sz w:val="20"/>
                <w:szCs w:val="20"/>
              </w:rPr>
              <w:t xml:space="preserve">Er wordt een beroep gedaan op “eigen kracht” en “gebruikelijke hulp”, maar deze begrippen worden niet altijd afgebakend, wat kan leiden tot ontoereikende ondersteuning. Financiële </w:t>
            </w:r>
            <w:r w:rsidRPr="00B76884">
              <w:rPr>
                <w:rFonts w:ascii="Arial" w:hAnsi="Arial" w:cs="Arial"/>
                <w:sz w:val="20"/>
                <w:szCs w:val="20"/>
              </w:rPr>
              <w:lastRenderedPageBreak/>
              <w:t xml:space="preserve">tegemoetkomingen (bijv. </w:t>
            </w:r>
            <w:proofErr w:type="spellStart"/>
            <w:r w:rsidRPr="00B76884">
              <w:rPr>
                <w:rFonts w:ascii="Arial" w:hAnsi="Arial" w:cs="Arial"/>
                <w:sz w:val="20"/>
                <w:szCs w:val="20"/>
              </w:rPr>
              <w:t>PGB’s</w:t>
            </w:r>
            <w:proofErr w:type="spellEnd"/>
            <w:r w:rsidRPr="00B76884">
              <w:rPr>
                <w:rFonts w:ascii="Arial" w:hAnsi="Arial" w:cs="Arial"/>
                <w:sz w:val="20"/>
                <w:szCs w:val="20"/>
              </w:rPr>
              <w:t>) zijn beschikbaar, maar ontoegankelijk voor cliënten die moeite hebben met beheer.</w:t>
            </w:r>
          </w:p>
        </w:tc>
        <w:tc>
          <w:tcPr>
            <w:tcW w:w="5103" w:type="dxa"/>
          </w:tcPr>
          <w:p w14:paraId="514F56A9" w14:textId="6313DEFD" w:rsidR="00861C0A" w:rsidRPr="00B76884" w:rsidRDefault="00D86E7D" w:rsidP="007620FB">
            <w:pPr>
              <w:spacing w:line="260" w:lineRule="atLeast"/>
              <w:rPr>
                <w:rFonts w:ascii="Arial" w:hAnsi="Arial" w:cs="Arial"/>
                <w:sz w:val="20"/>
                <w:szCs w:val="20"/>
              </w:rPr>
            </w:pPr>
            <w:r w:rsidRPr="00B76884">
              <w:rPr>
                <w:rFonts w:ascii="Arial" w:hAnsi="Arial" w:cs="Arial"/>
                <w:sz w:val="20"/>
                <w:szCs w:val="20"/>
              </w:rPr>
              <w:lastRenderedPageBreak/>
              <w:t>Zorg voor betere afbakening van “eigen kracht” en “gebruikelijke hulp”. Bied ondersteuning voor cliënten bij PGB-beheer, zoals budgetcoaches.</w:t>
            </w:r>
          </w:p>
        </w:tc>
        <w:tc>
          <w:tcPr>
            <w:tcW w:w="851" w:type="dxa"/>
          </w:tcPr>
          <w:p w14:paraId="6BBC714D" w14:textId="37E58926" w:rsidR="00861C0A" w:rsidRPr="00B76884" w:rsidRDefault="00D86E7D" w:rsidP="007620FB">
            <w:pPr>
              <w:spacing w:line="260" w:lineRule="atLeast"/>
              <w:rPr>
                <w:rFonts w:ascii="Arial" w:hAnsi="Arial" w:cs="Arial"/>
                <w:sz w:val="20"/>
                <w:szCs w:val="20"/>
              </w:rPr>
            </w:pPr>
            <w:r w:rsidRPr="00B76884">
              <w:rPr>
                <w:rFonts w:ascii="Arial" w:hAnsi="Arial" w:cs="Arial"/>
                <w:sz w:val="20"/>
                <w:szCs w:val="20"/>
              </w:rPr>
              <w:t>6/10</w:t>
            </w:r>
          </w:p>
        </w:tc>
      </w:tr>
      <w:tr w:rsidR="00D86E7D" w:rsidRPr="00B76884" w14:paraId="09DE11A0" w14:textId="77777777" w:rsidTr="00861C0A">
        <w:tc>
          <w:tcPr>
            <w:tcW w:w="3606" w:type="dxa"/>
          </w:tcPr>
          <w:p w14:paraId="4CF29D17" w14:textId="0923B6D9" w:rsidR="00D86E7D" w:rsidRPr="00B76884" w:rsidRDefault="00D86E7D" w:rsidP="007620FB">
            <w:pPr>
              <w:spacing w:line="260" w:lineRule="atLeast"/>
              <w:rPr>
                <w:rFonts w:ascii="Arial" w:hAnsi="Arial" w:cs="Arial"/>
                <w:sz w:val="20"/>
                <w:szCs w:val="20"/>
              </w:rPr>
            </w:pPr>
            <w:r w:rsidRPr="00B76884">
              <w:rPr>
                <w:rFonts w:ascii="Arial" w:hAnsi="Arial" w:cs="Arial"/>
                <w:sz w:val="20"/>
                <w:szCs w:val="20"/>
              </w:rPr>
              <w:t>Artikel 8: Bewustmaking</w:t>
            </w:r>
          </w:p>
        </w:tc>
        <w:tc>
          <w:tcPr>
            <w:tcW w:w="4866" w:type="dxa"/>
          </w:tcPr>
          <w:p w14:paraId="12815AF8" w14:textId="1DD8C3AD" w:rsidR="00D86E7D" w:rsidRPr="00B76884" w:rsidRDefault="00D86E7D" w:rsidP="007620FB">
            <w:pPr>
              <w:spacing w:line="260" w:lineRule="atLeast"/>
              <w:rPr>
                <w:rFonts w:ascii="Arial" w:hAnsi="Arial" w:cs="Arial"/>
                <w:sz w:val="20"/>
                <w:szCs w:val="20"/>
              </w:rPr>
            </w:pPr>
            <w:r w:rsidRPr="00B76884">
              <w:rPr>
                <w:rFonts w:ascii="Arial" w:hAnsi="Arial" w:cs="Arial"/>
                <w:sz w:val="20"/>
                <w:szCs w:val="20"/>
              </w:rPr>
              <w:t>De verordening heeft geen specifieke bepalingen over training en bewustmaking van professionals in het licht van het VN-verdrag Handicap of mensenrechten.</w:t>
            </w:r>
          </w:p>
        </w:tc>
        <w:tc>
          <w:tcPr>
            <w:tcW w:w="5103" w:type="dxa"/>
          </w:tcPr>
          <w:p w14:paraId="078B9DE2" w14:textId="21559444" w:rsidR="00D86E7D" w:rsidRPr="00B76884" w:rsidRDefault="00D86E7D" w:rsidP="007620FB">
            <w:pPr>
              <w:spacing w:line="260" w:lineRule="atLeast"/>
              <w:rPr>
                <w:rFonts w:ascii="Arial" w:hAnsi="Arial" w:cs="Arial"/>
                <w:sz w:val="20"/>
                <w:szCs w:val="20"/>
              </w:rPr>
            </w:pPr>
            <w:r w:rsidRPr="00B76884">
              <w:rPr>
                <w:rFonts w:ascii="Arial" w:hAnsi="Arial" w:cs="Arial"/>
                <w:sz w:val="20"/>
                <w:szCs w:val="20"/>
              </w:rPr>
              <w:t>Introduceer een verplichting voor training van zorgaanbieders over het VN-verdrag en rechten van mensen met beperkingen.</w:t>
            </w:r>
          </w:p>
        </w:tc>
        <w:tc>
          <w:tcPr>
            <w:tcW w:w="851" w:type="dxa"/>
          </w:tcPr>
          <w:p w14:paraId="1234AD03" w14:textId="24D909B1" w:rsidR="00D86E7D" w:rsidRPr="00B76884" w:rsidRDefault="00D86E7D" w:rsidP="007620FB">
            <w:pPr>
              <w:spacing w:line="260" w:lineRule="atLeast"/>
              <w:rPr>
                <w:rFonts w:ascii="Arial" w:hAnsi="Arial" w:cs="Arial"/>
                <w:sz w:val="20"/>
                <w:szCs w:val="20"/>
              </w:rPr>
            </w:pPr>
            <w:r w:rsidRPr="00B76884">
              <w:rPr>
                <w:rFonts w:ascii="Arial" w:hAnsi="Arial" w:cs="Arial"/>
                <w:sz w:val="20"/>
                <w:szCs w:val="20"/>
              </w:rPr>
              <w:t>4/10</w:t>
            </w:r>
          </w:p>
        </w:tc>
      </w:tr>
    </w:tbl>
    <w:p w14:paraId="33915103" w14:textId="77777777" w:rsidR="001A7048" w:rsidRDefault="001A7048" w:rsidP="00D86E7D">
      <w:pPr>
        <w:spacing w:line="260" w:lineRule="atLeast"/>
        <w:rPr>
          <w:rFonts w:ascii="Arial" w:hAnsi="Arial" w:cs="Arial"/>
          <w:b/>
          <w:bCs/>
          <w:sz w:val="20"/>
          <w:szCs w:val="20"/>
        </w:rPr>
      </w:pPr>
    </w:p>
    <w:p w14:paraId="363BA67A" w14:textId="602982F1" w:rsidR="00D86E7D" w:rsidRPr="00B76884" w:rsidRDefault="00D86E7D" w:rsidP="00D86E7D">
      <w:pPr>
        <w:spacing w:line="260" w:lineRule="atLeast"/>
        <w:rPr>
          <w:rFonts w:ascii="Arial" w:hAnsi="Arial" w:cs="Arial"/>
          <w:b/>
          <w:bCs/>
          <w:sz w:val="20"/>
          <w:szCs w:val="20"/>
        </w:rPr>
      </w:pPr>
      <w:r w:rsidRPr="00B76884">
        <w:rPr>
          <w:rFonts w:ascii="Arial" w:hAnsi="Arial" w:cs="Arial"/>
          <w:b/>
          <w:bCs/>
          <w:sz w:val="20"/>
          <w:szCs w:val="20"/>
        </w:rPr>
        <w:t>Samenvatting beoordeling</w:t>
      </w:r>
    </w:p>
    <w:p w14:paraId="7D05DFEB" w14:textId="77777777" w:rsidR="00D86E7D" w:rsidRPr="00B76884" w:rsidRDefault="00D86E7D" w:rsidP="00D86E7D">
      <w:pPr>
        <w:spacing w:line="260" w:lineRule="atLeast"/>
        <w:rPr>
          <w:rFonts w:ascii="Arial" w:hAnsi="Arial" w:cs="Arial"/>
          <w:sz w:val="20"/>
          <w:szCs w:val="20"/>
        </w:rPr>
      </w:pPr>
    </w:p>
    <w:p w14:paraId="296E7794" w14:textId="7436FFF2" w:rsidR="00D86E7D" w:rsidRPr="00B76884" w:rsidRDefault="00D86E7D" w:rsidP="00D86E7D">
      <w:pPr>
        <w:spacing w:line="260" w:lineRule="atLeast"/>
        <w:rPr>
          <w:rFonts w:ascii="Arial" w:hAnsi="Arial" w:cs="Arial"/>
          <w:b/>
          <w:bCs/>
          <w:sz w:val="20"/>
          <w:szCs w:val="20"/>
        </w:rPr>
      </w:pPr>
      <w:r w:rsidRPr="00B76884">
        <w:rPr>
          <w:rFonts w:ascii="Arial" w:hAnsi="Arial" w:cs="Arial"/>
          <w:b/>
          <w:bCs/>
          <w:sz w:val="20"/>
          <w:szCs w:val="20"/>
        </w:rPr>
        <w:t>Sterke punten:</w:t>
      </w:r>
    </w:p>
    <w:p w14:paraId="0DEE39C4" w14:textId="77777777" w:rsidR="00D86E7D" w:rsidRPr="00B76884" w:rsidRDefault="00D86E7D" w:rsidP="00D86E7D">
      <w:pPr>
        <w:spacing w:line="260" w:lineRule="atLeast"/>
        <w:rPr>
          <w:rFonts w:ascii="Arial" w:hAnsi="Arial" w:cs="Arial"/>
          <w:sz w:val="20"/>
          <w:szCs w:val="20"/>
        </w:rPr>
      </w:pPr>
      <w:r w:rsidRPr="00B76884">
        <w:rPr>
          <w:rFonts w:ascii="Arial" w:hAnsi="Arial" w:cs="Arial"/>
          <w:sz w:val="20"/>
          <w:szCs w:val="20"/>
        </w:rPr>
        <w:t>• De verordening ondersteunt participatie en zelfredzaamheid in principe goed.</w:t>
      </w:r>
    </w:p>
    <w:p w14:paraId="072AD53F" w14:textId="77777777" w:rsidR="00D86E7D" w:rsidRPr="00B76884" w:rsidRDefault="00D86E7D" w:rsidP="00D86E7D">
      <w:pPr>
        <w:spacing w:line="260" w:lineRule="atLeast"/>
        <w:rPr>
          <w:rFonts w:ascii="Arial" w:hAnsi="Arial" w:cs="Arial"/>
          <w:sz w:val="20"/>
          <w:szCs w:val="20"/>
        </w:rPr>
      </w:pPr>
      <w:r w:rsidRPr="00B76884">
        <w:rPr>
          <w:rFonts w:ascii="Arial" w:hAnsi="Arial" w:cs="Arial"/>
          <w:sz w:val="20"/>
          <w:szCs w:val="20"/>
        </w:rPr>
        <w:t>• Toegang tot voorzieningen is geregeld via algemene en maatwerkvoorzieningen.</w:t>
      </w:r>
    </w:p>
    <w:p w14:paraId="1143787A" w14:textId="77777777" w:rsidR="00D86E7D" w:rsidRPr="00B76884" w:rsidRDefault="00D86E7D" w:rsidP="00D86E7D">
      <w:pPr>
        <w:spacing w:line="260" w:lineRule="atLeast"/>
        <w:rPr>
          <w:rFonts w:ascii="Arial" w:hAnsi="Arial" w:cs="Arial"/>
          <w:sz w:val="20"/>
          <w:szCs w:val="20"/>
        </w:rPr>
      </w:pPr>
      <w:r w:rsidRPr="00B76884">
        <w:rPr>
          <w:rFonts w:ascii="Arial" w:hAnsi="Arial" w:cs="Arial"/>
          <w:sz w:val="20"/>
          <w:szCs w:val="20"/>
        </w:rPr>
        <w:t>• Er zijn garanties voor maatwerk waar algemene voorzieningen tekortschieten.</w:t>
      </w:r>
    </w:p>
    <w:p w14:paraId="09850469" w14:textId="77777777" w:rsidR="00D86E7D" w:rsidRPr="00B76884" w:rsidRDefault="00D86E7D" w:rsidP="00D86E7D">
      <w:pPr>
        <w:spacing w:line="260" w:lineRule="atLeast"/>
        <w:rPr>
          <w:rFonts w:ascii="Arial" w:hAnsi="Arial" w:cs="Arial"/>
          <w:sz w:val="20"/>
          <w:szCs w:val="20"/>
        </w:rPr>
      </w:pPr>
    </w:p>
    <w:p w14:paraId="6471A8B3" w14:textId="4A2506DC" w:rsidR="00D86E7D" w:rsidRPr="00B76884" w:rsidRDefault="00D86E7D" w:rsidP="00D86E7D">
      <w:pPr>
        <w:spacing w:line="260" w:lineRule="atLeast"/>
        <w:rPr>
          <w:rFonts w:ascii="Arial" w:hAnsi="Arial" w:cs="Arial"/>
          <w:b/>
          <w:bCs/>
          <w:sz w:val="20"/>
          <w:szCs w:val="20"/>
        </w:rPr>
      </w:pPr>
      <w:r w:rsidRPr="00B76884">
        <w:rPr>
          <w:rFonts w:ascii="Arial" w:hAnsi="Arial" w:cs="Arial"/>
          <w:b/>
          <w:bCs/>
          <w:sz w:val="20"/>
          <w:szCs w:val="20"/>
        </w:rPr>
        <w:t>Zwakke punten:</w:t>
      </w:r>
    </w:p>
    <w:p w14:paraId="7761C6B2" w14:textId="77777777" w:rsidR="00D86E7D" w:rsidRPr="00B76884" w:rsidRDefault="00D86E7D" w:rsidP="00D86E7D">
      <w:pPr>
        <w:spacing w:line="260" w:lineRule="atLeast"/>
        <w:rPr>
          <w:rFonts w:ascii="Arial" w:hAnsi="Arial" w:cs="Arial"/>
          <w:sz w:val="20"/>
          <w:szCs w:val="20"/>
        </w:rPr>
      </w:pPr>
      <w:r w:rsidRPr="00B76884">
        <w:rPr>
          <w:rFonts w:ascii="Arial" w:hAnsi="Arial" w:cs="Arial"/>
          <w:sz w:val="20"/>
          <w:szCs w:val="20"/>
        </w:rPr>
        <w:t>• Beperkingen in mobiliteit: De kilometerlimiet (1.850 km) en focus op het “sociale netwerk” sluiten niet goed aan bij het recht op persoonlijke mobiliteit.</w:t>
      </w:r>
    </w:p>
    <w:p w14:paraId="7D109B8A" w14:textId="77777777" w:rsidR="00D86E7D" w:rsidRPr="00B76884" w:rsidRDefault="00D86E7D" w:rsidP="00D86E7D">
      <w:pPr>
        <w:spacing w:line="260" w:lineRule="atLeast"/>
        <w:rPr>
          <w:rFonts w:ascii="Arial" w:hAnsi="Arial" w:cs="Arial"/>
          <w:sz w:val="20"/>
          <w:szCs w:val="20"/>
        </w:rPr>
      </w:pPr>
      <w:r w:rsidRPr="00B76884">
        <w:rPr>
          <w:rFonts w:ascii="Arial" w:hAnsi="Arial" w:cs="Arial"/>
          <w:sz w:val="20"/>
          <w:szCs w:val="20"/>
        </w:rPr>
        <w:t>• Gebruikelijke hulp en eigen kracht: Deze termen kunnen leiden tot uitsluiting van ondersteuning als er onvoldoende rekening wordt gehouden met de specifieke behoeften van mensen met een beperking.</w:t>
      </w:r>
    </w:p>
    <w:p w14:paraId="012BE729" w14:textId="77777777" w:rsidR="00D86E7D" w:rsidRPr="00B76884" w:rsidRDefault="00D86E7D" w:rsidP="00D86E7D">
      <w:pPr>
        <w:spacing w:line="260" w:lineRule="atLeast"/>
        <w:rPr>
          <w:rFonts w:ascii="Arial" w:hAnsi="Arial" w:cs="Arial"/>
          <w:sz w:val="20"/>
          <w:szCs w:val="20"/>
        </w:rPr>
      </w:pPr>
      <w:r w:rsidRPr="00B76884">
        <w:rPr>
          <w:rFonts w:ascii="Arial" w:hAnsi="Arial" w:cs="Arial"/>
          <w:sz w:val="20"/>
          <w:szCs w:val="20"/>
        </w:rPr>
        <w:t>• Toegankelijkheid en bewustwording: Toegankelijkheid en training van professionals worden niet expliciet genoemd, wat een gemiste kans is om inclusie structureel te verbeteren.</w:t>
      </w:r>
    </w:p>
    <w:p w14:paraId="0C4FC446" w14:textId="77777777" w:rsidR="00D86E7D" w:rsidRPr="00B76884" w:rsidRDefault="00D86E7D" w:rsidP="00D86E7D">
      <w:pPr>
        <w:spacing w:line="260" w:lineRule="atLeast"/>
        <w:rPr>
          <w:rFonts w:ascii="Arial" w:hAnsi="Arial" w:cs="Arial"/>
          <w:sz w:val="20"/>
          <w:szCs w:val="20"/>
        </w:rPr>
      </w:pPr>
    </w:p>
    <w:p w14:paraId="6B2963A1" w14:textId="77777777" w:rsidR="00D86E7D" w:rsidRPr="00B76884" w:rsidRDefault="00D86E7D" w:rsidP="00D86E7D">
      <w:pPr>
        <w:spacing w:line="260" w:lineRule="atLeast"/>
        <w:rPr>
          <w:rFonts w:ascii="Arial" w:hAnsi="Arial" w:cs="Arial"/>
          <w:sz w:val="20"/>
          <w:szCs w:val="20"/>
        </w:rPr>
      </w:pPr>
      <w:r w:rsidRPr="00B76884">
        <w:rPr>
          <w:rFonts w:ascii="Arial" w:hAnsi="Arial" w:cs="Arial"/>
          <w:sz w:val="20"/>
          <w:szCs w:val="20"/>
        </w:rPr>
        <w:t>Totaalscore</w:t>
      </w:r>
    </w:p>
    <w:p w14:paraId="2DE017A8" w14:textId="77777777" w:rsidR="00D86E7D" w:rsidRPr="00B76884" w:rsidRDefault="00D86E7D" w:rsidP="00D86E7D">
      <w:pPr>
        <w:spacing w:line="260" w:lineRule="atLeast"/>
        <w:rPr>
          <w:rFonts w:ascii="Arial" w:hAnsi="Arial" w:cs="Arial"/>
          <w:sz w:val="20"/>
          <w:szCs w:val="20"/>
        </w:rPr>
      </w:pPr>
    </w:p>
    <w:p w14:paraId="08F84327" w14:textId="77777777" w:rsidR="00D86E7D" w:rsidRPr="00B76884" w:rsidRDefault="00D86E7D" w:rsidP="00D86E7D">
      <w:pPr>
        <w:spacing w:line="260" w:lineRule="atLeast"/>
        <w:rPr>
          <w:rFonts w:ascii="Arial" w:hAnsi="Arial" w:cs="Arial"/>
          <w:sz w:val="20"/>
          <w:szCs w:val="20"/>
        </w:rPr>
      </w:pPr>
      <w:r w:rsidRPr="00B76884">
        <w:rPr>
          <w:rFonts w:ascii="Arial" w:hAnsi="Arial" w:cs="Arial"/>
          <w:sz w:val="20"/>
          <w:szCs w:val="20"/>
        </w:rPr>
        <w:t>Op basis van de kernprincipes van het VN-verdrag Handicap scoort de verordening 6/10.</w:t>
      </w:r>
    </w:p>
    <w:p w14:paraId="3734EEB5" w14:textId="77777777" w:rsidR="00D86E7D" w:rsidRPr="00B76884" w:rsidRDefault="00D86E7D" w:rsidP="00D86E7D">
      <w:pPr>
        <w:spacing w:line="260" w:lineRule="atLeast"/>
        <w:rPr>
          <w:rFonts w:ascii="Arial" w:hAnsi="Arial" w:cs="Arial"/>
          <w:sz w:val="20"/>
          <w:szCs w:val="20"/>
        </w:rPr>
      </w:pPr>
    </w:p>
    <w:p w14:paraId="04B670CC" w14:textId="77777777" w:rsidR="00D86E7D" w:rsidRPr="00B76884" w:rsidRDefault="00D86E7D" w:rsidP="00D86E7D">
      <w:pPr>
        <w:spacing w:line="260" w:lineRule="atLeast"/>
        <w:rPr>
          <w:rFonts w:ascii="Arial" w:hAnsi="Arial" w:cs="Arial"/>
          <w:sz w:val="20"/>
          <w:szCs w:val="20"/>
        </w:rPr>
      </w:pPr>
      <w:r w:rsidRPr="00B76884">
        <w:rPr>
          <w:rFonts w:ascii="Arial" w:hAnsi="Arial" w:cs="Arial"/>
          <w:sz w:val="20"/>
          <w:szCs w:val="20"/>
        </w:rPr>
        <w:t>Dit betekent dat er belangrijke stappen zijn gezet in de richting van inclusie en participatie, maar dat er ruimte is voor verbetering, vooral op het gebied van toegankelijkheid, mobiliteit en bewustmaking. Wilt u een gedetailleerd actieplan om de verordening verder te verbeteren?</w:t>
      </w:r>
    </w:p>
    <w:p w14:paraId="02142D7A" w14:textId="77777777" w:rsidR="0061278A" w:rsidRPr="00B76884" w:rsidRDefault="0061278A" w:rsidP="00D86E7D">
      <w:pPr>
        <w:spacing w:line="260" w:lineRule="atLeast"/>
        <w:rPr>
          <w:rFonts w:ascii="Arial" w:hAnsi="Arial" w:cs="Arial"/>
          <w:sz w:val="20"/>
          <w:szCs w:val="20"/>
        </w:rPr>
      </w:pPr>
    </w:p>
    <w:p w14:paraId="091DC23D" w14:textId="3E2667E9" w:rsidR="00C4449D" w:rsidRPr="005B71C5" w:rsidRDefault="001A7048" w:rsidP="00C27C35">
      <w:pPr>
        <w:rPr>
          <w:rFonts w:ascii="Arial" w:hAnsi="Arial" w:cs="Arial"/>
          <w:b/>
          <w:bCs/>
          <w:sz w:val="24"/>
          <w:szCs w:val="24"/>
        </w:rPr>
      </w:pPr>
      <w:r w:rsidRPr="005B71C5">
        <w:rPr>
          <w:rFonts w:ascii="Arial" w:hAnsi="Arial" w:cs="Arial"/>
          <w:b/>
          <w:bCs/>
          <w:sz w:val="24"/>
          <w:szCs w:val="24"/>
        </w:rPr>
        <w:t xml:space="preserve">B. </w:t>
      </w:r>
      <w:r w:rsidR="009A5822" w:rsidRPr="005B71C5">
        <w:rPr>
          <w:rFonts w:ascii="Arial" w:hAnsi="Arial" w:cs="Arial"/>
          <w:b/>
          <w:bCs/>
          <w:sz w:val="24"/>
          <w:szCs w:val="24"/>
        </w:rPr>
        <w:t>Concrete voorbeelden</w:t>
      </w:r>
      <w:r w:rsidRPr="005B71C5">
        <w:rPr>
          <w:rFonts w:ascii="Arial" w:hAnsi="Arial" w:cs="Arial"/>
          <w:b/>
          <w:bCs/>
          <w:sz w:val="24"/>
          <w:szCs w:val="24"/>
        </w:rPr>
        <w:t xml:space="preserve"> van artikelen uit de verordening in vergelijking met VN verdrag Handicap</w:t>
      </w:r>
    </w:p>
    <w:p w14:paraId="3CC78D19" w14:textId="77777777" w:rsidR="009A5822" w:rsidRPr="00B76884" w:rsidRDefault="009A5822" w:rsidP="00C27C35">
      <w:pPr>
        <w:rPr>
          <w:rFonts w:ascii="Arial" w:hAnsi="Arial" w:cs="Arial"/>
          <w:b/>
          <w:bCs/>
          <w:sz w:val="20"/>
          <w:szCs w:val="20"/>
        </w:rPr>
      </w:pPr>
    </w:p>
    <w:p w14:paraId="6C730C65" w14:textId="77777777" w:rsidR="00B76884" w:rsidRDefault="00B76884" w:rsidP="00B76884">
      <w:pPr>
        <w:rPr>
          <w:rFonts w:ascii="Arial" w:hAnsi="Arial" w:cs="Arial"/>
          <w:b/>
          <w:bCs/>
          <w:sz w:val="20"/>
          <w:szCs w:val="20"/>
          <w:u w:val="single"/>
        </w:rPr>
      </w:pPr>
      <w:r w:rsidRPr="00B76884">
        <w:rPr>
          <w:rFonts w:ascii="Arial" w:hAnsi="Arial" w:cs="Arial"/>
          <w:b/>
          <w:bCs/>
          <w:sz w:val="20"/>
          <w:szCs w:val="20"/>
          <w:u w:val="single"/>
        </w:rPr>
        <w:t>Mobiliteit</w:t>
      </w:r>
    </w:p>
    <w:p w14:paraId="6CAE0264" w14:textId="77777777" w:rsidR="00492F04" w:rsidRDefault="00492F04" w:rsidP="00B76884">
      <w:pPr>
        <w:rPr>
          <w:rFonts w:ascii="Arial" w:hAnsi="Arial" w:cs="Arial"/>
          <w:b/>
          <w:bCs/>
          <w:sz w:val="20"/>
          <w:szCs w:val="20"/>
          <w:u w:val="single"/>
        </w:rPr>
      </w:pPr>
    </w:p>
    <w:tbl>
      <w:tblPr>
        <w:tblStyle w:val="Tabelraster"/>
        <w:tblW w:w="10343" w:type="dxa"/>
        <w:tblLook w:val="04A0" w:firstRow="1" w:lastRow="0" w:firstColumn="1" w:lastColumn="0" w:noHBand="0" w:noVBand="1"/>
      </w:tblPr>
      <w:tblGrid>
        <w:gridCol w:w="1347"/>
        <w:gridCol w:w="3270"/>
        <w:gridCol w:w="2751"/>
        <w:gridCol w:w="2975"/>
      </w:tblGrid>
      <w:tr w:rsidR="001F2DCE" w14:paraId="0E0CCF29" w14:textId="77777777" w:rsidTr="00D13982">
        <w:tc>
          <w:tcPr>
            <w:tcW w:w="1347" w:type="dxa"/>
          </w:tcPr>
          <w:p w14:paraId="7BCBB9E2" w14:textId="77777777" w:rsidR="001F2DCE" w:rsidRDefault="001F2DCE" w:rsidP="008F2B3C">
            <w:pPr>
              <w:rPr>
                <w:rFonts w:ascii="Arial" w:hAnsi="Arial" w:cs="Arial"/>
                <w:b/>
                <w:bCs/>
                <w:sz w:val="20"/>
                <w:szCs w:val="20"/>
              </w:rPr>
            </w:pPr>
            <w:r>
              <w:rPr>
                <w:rFonts w:ascii="Arial" w:hAnsi="Arial" w:cs="Arial"/>
                <w:b/>
                <w:bCs/>
                <w:sz w:val="20"/>
                <w:szCs w:val="20"/>
              </w:rPr>
              <w:t>Artikel</w:t>
            </w:r>
          </w:p>
        </w:tc>
        <w:tc>
          <w:tcPr>
            <w:tcW w:w="3270" w:type="dxa"/>
          </w:tcPr>
          <w:p w14:paraId="51A71C98" w14:textId="77777777" w:rsidR="001F2DCE" w:rsidRDefault="001F2DCE" w:rsidP="008F2B3C">
            <w:pPr>
              <w:rPr>
                <w:rFonts w:ascii="Arial" w:hAnsi="Arial" w:cs="Arial"/>
                <w:b/>
                <w:bCs/>
                <w:sz w:val="20"/>
                <w:szCs w:val="20"/>
              </w:rPr>
            </w:pPr>
            <w:r>
              <w:rPr>
                <w:rFonts w:ascii="Arial" w:hAnsi="Arial" w:cs="Arial"/>
                <w:b/>
                <w:bCs/>
                <w:sz w:val="20"/>
                <w:szCs w:val="20"/>
              </w:rPr>
              <w:t>Huidige tekst</w:t>
            </w:r>
          </w:p>
        </w:tc>
        <w:tc>
          <w:tcPr>
            <w:tcW w:w="2751" w:type="dxa"/>
          </w:tcPr>
          <w:p w14:paraId="1300D90D" w14:textId="77777777" w:rsidR="001F2DCE" w:rsidRDefault="001F2DCE" w:rsidP="008F2B3C">
            <w:pPr>
              <w:rPr>
                <w:rFonts w:ascii="Arial" w:hAnsi="Arial" w:cs="Arial"/>
                <w:b/>
                <w:bCs/>
                <w:sz w:val="20"/>
                <w:szCs w:val="20"/>
              </w:rPr>
            </w:pPr>
            <w:r>
              <w:rPr>
                <w:rFonts w:ascii="Arial" w:hAnsi="Arial" w:cs="Arial"/>
                <w:b/>
                <w:bCs/>
                <w:sz w:val="20"/>
                <w:szCs w:val="20"/>
              </w:rPr>
              <w:t>Verbeterpunten</w:t>
            </w:r>
          </w:p>
        </w:tc>
        <w:tc>
          <w:tcPr>
            <w:tcW w:w="2975" w:type="dxa"/>
          </w:tcPr>
          <w:p w14:paraId="2293756E" w14:textId="77777777" w:rsidR="001F2DCE" w:rsidRDefault="001F2DCE" w:rsidP="008F2B3C">
            <w:pPr>
              <w:rPr>
                <w:rFonts w:ascii="Arial" w:hAnsi="Arial" w:cs="Arial"/>
                <w:b/>
                <w:bCs/>
                <w:sz w:val="20"/>
                <w:szCs w:val="20"/>
              </w:rPr>
            </w:pPr>
            <w:r>
              <w:rPr>
                <w:rFonts w:ascii="Arial" w:hAnsi="Arial" w:cs="Arial"/>
                <w:b/>
                <w:bCs/>
                <w:sz w:val="20"/>
                <w:szCs w:val="20"/>
              </w:rPr>
              <w:t>Verwijzing VN verdrag</w:t>
            </w:r>
          </w:p>
        </w:tc>
      </w:tr>
      <w:tr w:rsidR="001F2DCE" w14:paraId="624119DD" w14:textId="77777777" w:rsidTr="00D13982">
        <w:tc>
          <w:tcPr>
            <w:tcW w:w="1347" w:type="dxa"/>
          </w:tcPr>
          <w:p w14:paraId="0094B469" w14:textId="30ACBC9E" w:rsidR="001F2DCE" w:rsidRPr="00F35E33" w:rsidRDefault="001F2DCE" w:rsidP="008F2B3C">
            <w:pPr>
              <w:rPr>
                <w:rFonts w:ascii="Arial" w:hAnsi="Arial" w:cs="Arial"/>
                <w:sz w:val="20"/>
                <w:szCs w:val="20"/>
              </w:rPr>
            </w:pPr>
            <w:r w:rsidRPr="00F35E33">
              <w:rPr>
                <w:rFonts w:ascii="Arial" w:hAnsi="Arial" w:cs="Arial"/>
                <w:sz w:val="20"/>
                <w:szCs w:val="20"/>
              </w:rPr>
              <w:t>Artikel 9.1.</w:t>
            </w:r>
          </w:p>
        </w:tc>
        <w:tc>
          <w:tcPr>
            <w:tcW w:w="3270" w:type="dxa"/>
          </w:tcPr>
          <w:p w14:paraId="63D9E261" w14:textId="6D2CC5A9" w:rsidR="001F2DCE" w:rsidRPr="00F35E33" w:rsidRDefault="001F2DCE" w:rsidP="008F2B3C">
            <w:pPr>
              <w:rPr>
                <w:rFonts w:ascii="Arial" w:hAnsi="Arial" w:cs="Arial"/>
                <w:sz w:val="20"/>
                <w:szCs w:val="20"/>
              </w:rPr>
            </w:pPr>
            <w:r w:rsidRPr="00F35E33">
              <w:rPr>
                <w:rFonts w:ascii="Arial" w:hAnsi="Arial" w:cs="Arial"/>
                <w:sz w:val="20"/>
                <w:szCs w:val="20"/>
              </w:rPr>
              <w:t>1.</w:t>
            </w:r>
            <w:r w:rsidR="007D564D" w:rsidRPr="00F35E33">
              <w:rPr>
                <w:rFonts w:ascii="Arial" w:hAnsi="Arial" w:cs="Arial"/>
                <w:sz w:val="20"/>
                <w:szCs w:val="20"/>
              </w:rPr>
              <w:t xml:space="preserve"> Vervoersvoorzieningen gericht op het bereiken van winkels</w:t>
            </w:r>
            <w:r w:rsidR="00E27658" w:rsidRPr="00F35E33">
              <w:rPr>
                <w:rFonts w:ascii="Arial" w:hAnsi="Arial" w:cs="Arial"/>
                <w:sz w:val="20"/>
                <w:szCs w:val="20"/>
              </w:rPr>
              <w:t>, sociale contacten en recreatie</w:t>
            </w:r>
          </w:p>
        </w:tc>
        <w:tc>
          <w:tcPr>
            <w:tcW w:w="2751" w:type="dxa"/>
          </w:tcPr>
          <w:p w14:paraId="38CE92F5" w14:textId="37E763DE" w:rsidR="001F2DCE" w:rsidRPr="00904A42" w:rsidRDefault="00E27658" w:rsidP="008F2B3C">
            <w:pPr>
              <w:rPr>
                <w:rFonts w:ascii="Arial" w:hAnsi="Arial" w:cs="Arial"/>
                <w:sz w:val="20"/>
                <w:szCs w:val="20"/>
              </w:rPr>
            </w:pPr>
            <w:r w:rsidRPr="00904A42">
              <w:rPr>
                <w:rFonts w:ascii="Arial" w:hAnsi="Arial" w:cs="Arial"/>
                <w:sz w:val="20"/>
                <w:szCs w:val="20"/>
              </w:rPr>
              <w:t>Voeg toe dat mobiliteit gericht moet zijn op volledige deelname</w:t>
            </w:r>
            <w:r w:rsidR="00F1366C" w:rsidRPr="00904A42">
              <w:rPr>
                <w:rFonts w:ascii="Arial" w:hAnsi="Arial" w:cs="Arial"/>
                <w:sz w:val="20"/>
                <w:szCs w:val="20"/>
              </w:rPr>
              <w:t xml:space="preserve"> aan de maatschappij, met extra aandacht voor de </w:t>
            </w:r>
            <w:r w:rsidR="00F35E33" w:rsidRPr="00904A42">
              <w:rPr>
                <w:rFonts w:ascii="Arial" w:hAnsi="Arial" w:cs="Arial"/>
                <w:sz w:val="20"/>
                <w:szCs w:val="20"/>
              </w:rPr>
              <w:t>cliënten</w:t>
            </w:r>
            <w:r w:rsidR="00904A42" w:rsidRPr="00904A42">
              <w:rPr>
                <w:rFonts w:ascii="Arial" w:hAnsi="Arial" w:cs="Arial"/>
                <w:sz w:val="20"/>
                <w:szCs w:val="20"/>
              </w:rPr>
              <w:t xml:space="preserve"> met beperkte toegang tot openbaar vervoer</w:t>
            </w:r>
          </w:p>
        </w:tc>
        <w:tc>
          <w:tcPr>
            <w:tcW w:w="2975" w:type="dxa"/>
          </w:tcPr>
          <w:p w14:paraId="67E89FA3" w14:textId="022971A4" w:rsidR="001F2DCE" w:rsidRPr="00F35E33" w:rsidRDefault="00F35E33" w:rsidP="008F2B3C">
            <w:pPr>
              <w:rPr>
                <w:rFonts w:ascii="Arial" w:hAnsi="Arial" w:cs="Arial"/>
                <w:sz w:val="20"/>
                <w:szCs w:val="20"/>
              </w:rPr>
            </w:pPr>
            <w:r w:rsidRPr="00F35E33">
              <w:rPr>
                <w:rFonts w:ascii="Arial" w:hAnsi="Arial" w:cs="Arial"/>
                <w:sz w:val="20"/>
                <w:szCs w:val="20"/>
              </w:rPr>
              <w:t>Artikel 20 (mobiliteit)</w:t>
            </w:r>
          </w:p>
        </w:tc>
      </w:tr>
      <w:tr w:rsidR="00F35E33" w14:paraId="7707A317" w14:textId="77777777" w:rsidTr="00D13982">
        <w:tc>
          <w:tcPr>
            <w:tcW w:w="1347" w:type="dxa"/>
          </w:tcPr>
          <w:p w14:paraId="0AD97C87" w14:textId="5E1F83AB" w:rsidR="00F35E33" w:rsidRPr="00F35E33" w:rsidRDefault="004A1AF1" w:rsidP="008F2B3C">
            <w:pPr>
              <w:rPr>
                <w:rFonts w:ascii="Arial" w:hAnsi="Arial" w:cs="Arial"/>
                <w:sz w:val="20"/>
                <w:szCs w:val="20"/>
              </w:rPr>
            </w:pPr>
            <w:r>
              <w:rPr>
                <w:rFonts w:ascii="Arial" w:hAnsi="Arial" w:cs="Arial"/>
                <w:sz w:val="20"/>
                <w:szCs w:val="20"/>
              </w:rPr>
              <w:t>Artikel 9.1.</w:t>
            </w:r>
          </w:p>
        </w:tc>
        <w:tc>
          <w:tcPr>
            <w:tcW w:w="3270" w:type="dxa"/>
          </w:tcPr>
          <w:p w14:paraId="0D956546" w14:textId="77777777" w:rsidR="004A1AF1" w:rsidRPr="00B76884" w:rsidRDefault="004A1AF1" w:rsidP="004A1AF1">
            <w:pPr>
              <w:rPr>
                <w:rFonts w:ascii="Arial" w:hAnsi="Arial" w:cs="Arial"/>
                <w:sz w:val="20"/>
                <w:szCs w:val="20"/>
              </w:rPr>
            </w:pPr>
            <w:r w:rsidRPr="00B76884">
              <w:rPr>
                <w:rFonts w:ascii="Arial" w:hAnsi="Arial" w:cs="Arial"/>
                <w:sz w:val="20"/>
                <w:szCs w:val="20"/>
              </w:rPr>
              <w:t>2. Om de resultaten als bedoeld in het vorige lid te bereiken, wordt vervoer mogelijk gemaakt tot 1850 km per kalenderjaar</w:t>
            </w:r>
          </w:p>
          <w:p w14:paraId="548AFE7D" w14:textId="656FD042" w:rsidR="00F35E33" w:rsidRPr="00F35E33" w:rsidRDefault="00F35E33" w:rsidP="008F2B3C">
            <w:pPr>
              <w:rPr>
                <w:rFonts w:ascii="Arial" w:hAnsi="Arial" w:cs="Arial"/>
                <w:sz w:val="20"/>
                <w:szCs w:val="20"/>
              </w:rPr>
            </w:pPr>
          </w:p>
        </w:tc>
        <w:tc>
          <w:tcPr>
            <w:tcW w:w="2751" w:type="dxa"/>
          </w:tcPr>
          <w:p w14:paraId="7351EB22" w14:textId="6C1E91DD" w:rsidR="00F35E33" w:rsidRPr="00904A42" w:rsidRDefault="004A1AF1" w:rsidP="008F2B3C">
            <w:pPr>
              <w:rPr>
                <w:rFonts w:ascii="Arial" w:hAnsi="Arial" w:cs="Arial"/>
                <w:sz w:val="20"/>
                <w:szCs w:val="20"/>
              </w:rPr>
            </w:pPr>
            <w:r>
              <w:rPr>
                <w:rFonts w:ascii="Arial" w:hAnsi="Arial" w:cs="Arial"/>
                <w:sz w:val="20"/>
                <w:szCs w:val="20"/>
              </w:rPr>
              <w:t xml:space="preserve">Introduceer </w:t>
            </w:r>
            <w:r w:rsidR="00900A9C">
              <w:rPr>
                <w:rFonts w:ascii="Arial" w:hAnsi="Arial" w:cs="Arial"/>
                <w:sz w:val="20"/>
                <w:szCs w:val="20"/>
              </w:rPr>
              <w:t>meer flexibiliteit: verhoog de limiet in specifieke gevallen</w:t>
            </w:r>
            <w:r w:rsidR="0006289B">
              <w:rPr>
                <w:rFonts w:ascii="Arial" w:hAnsi="Arial" w:cs="Arial"/>
                <w:sz w:val="20"/>
                <w:szCs w:val="20"/>
              </w:rPr>
              <w:t xml:space="preserve">, zoals medische afspraken of sociale isolatie. </w:t>
            </w:r>
            <w:r w:rsidR="003449BA">
              <w:rPr>
                <w:rFonts w:ascii="Arial" w:hAnsi="Arial" w:cs="Arial"/>
                <w:sz w:val="20"/>
                <w:szCs w:val="20"/>
              </w:rPr>
              <w:t>Definieer</w:t>
            </w:r>
            <w:r w:rsidR="0006289B">
              <w:rPr>
                <w:rFonts w:ascii="Arial" w:hAnsi="Arial" w:cs="Arial"/>
                <w:sz w:val="20"/>
                <w:szCs w:val="20"/>
              </w:rPr>
              <w:t xml:space="preserve"> een beoordelingsproces voor extra kilometers</w:t>
            </w:r>
            <w:r w:rsidR="003449BA">
              <w:rPr>
                <w:rFonts w:ascii="Arial" w:hAnsi="Arial" w:cs="Arial"/>
                <w:sz w:val="20"/>
                <w:szCs w:val="20"/>
              </w:rPr>
              <w:t xml:space="preserve"> op </w:t>
            </w:r>
            <w:r w:rsidR="003449BA">
              <w:rPr>
                <w:rFonts w:ascii="Arial" w:hAnsi="Arial" w:cs="Arial"/>
                <w:sz w:val="20"/>
                <w:szCs w:val="20"/>
              </w:rPr>
              <w:lastRenderedPageBreak/>
              <w:t>basis van individuele noodzaak</w:t>
            </w:r>
          </w:p>
        </w:tc>
        <w:tc>
          <w:tcPr>
            <w:tcW w:w="2975" w:type="dxa"/>
          </w:tcPr>
          <w:p w14:paraId="28B65C82" w14:textId="538D805C" w:rsidR="00F35E33" w:rsidRPr="00F35E33" w:rsidRDefault="00B57A2A" w:rsidP="008F2B3C">
            <w:pPr>
              <w:rPr>
                <w:rFonts w:ascii="Arial" w:hAnsi="Arial" w:cs="Arial"/>
                <w:sz w:val="20"/>
                <w:szCs w:val="20"/>
              </w:rPr>
            </w:pPr>
            <w:r>
              <w:rPr>
                <w:rFonts w:ascii="Arial" w:hAnsi="Arial" w:cs="Arial"/>
                <w:sz w:val="20"/>
                <w:szCs w:val="20"/>
              </w:rPr>
              <w:lastRenderedPageBreak/>
              <w:t>Artikel 20 (mobiliteit)</w:t>
            </w:r>
          </w:p>
        </w:tc>
      </w:tr>
      <w:tr w:rsidR="00B57A2A" w14:paraId="4A41185E" w14:textId="77777777" w:rsidTr="00D13982">
        <w:tc>
          <w:tcPr>
            <w:tcW w:w="1347" w:type="dxa"/>
          </w:tcPr>
          <w:p w14:paraId="663C2B47" w14:textId="588E7DF4" w:rsidR="00B57A2A" w:rsidRDefault="00B57A2A" w:rsidP="008F2B3C">
            <w:pPr>
              <w:rPr>
                <w:rFonts w:ascii="Arial" w:hAnsi="Arial" w:cs="Arial"/>
                <w:sz w:val="20"/>
                <w:szCs w:val="20"/>
              </w:rPr>
            </w:pPr>
            <w:r>
              <w:rPr>
                <w:rFonts w:ascii="Arial" w:hAnsi="Arial" w:cs="Arial"/>
                <w:sz w:val="20"/>
                <w:szCs w:val="20"/>
              </w:rPr>
              <w:t>Artikel 9.1.</w:t>
            </w:r>
          </w:p>
        </w:tc>
        <w:tc>
          <w:tcPr>
            <w:tcW w:w="3270" w:type="dxa"/>
          </w:tcPr>
          <w:p w14:paraId="2D552793" w14:textId="51988918" w:rsidR="00B57A2A" w:rsidRPr="00B76884" w:rsidRDefault="00B57A2A" w:rsidP="004A1AF1">
            <w:pPr>
              <w:rPr>
                <w:rFonts w:ascii="Arial" w:hAnsi="Arial" w:cs="Arial"/>
                <w:sz w:val="20"/>
                <w:szCs w:val="20"/>
              </w:rPr>
            </w:pPr>
            <w:r w:rsidRPr="00B76884">
              <w:rPr>
                <w:rFonts w:ascii="Arial" w:hAnsi="Arial" w:cs="Arial"/>
                <w:sz w:val="20"/>
                <w:szCs w:val="20"/>
              </w:rPr>
              <w:t>4. Onder de eigen leefomgeving wordt een afstand tot 30 km rondom de woning verstaan</w:t>
            </w:r>
          </w:p>
        </w:tc>
        <w:tc>
          <w:tcPr>
            <w:tcW w:w="2751" w:type="dxa"/>
          </w:tcPr>
          <w:p w14:paraId="36DBF1A5" w14:textId="02F267FC" w:rsidR="00B57A2A" w:rsidRDefault="00FE35E5" w:rsidP="008F2B3C">
            <w:pPr>
              <w:rPr>
                <w:rFonts w:ascii="Arial" w:hAnsi="Arial" w:cs="Arial"/>
                <w:sz w:val="20"/>
                <w:szCs w:val="20"/>
              </w:rPr>
            </w:pPr>
            <w:r>
              <w:rPr>
                <w:rFonts w:ascii="Arial" w:hAnsi="Arial" w:cs="Arial"/>
                <w:sz w:val="20"/>
                <w:szCs w:val="20"/>
              </w:rPr>
              <w:t xml:space="preserve">Herzie de definitie van “eigen leefomgeving” om </w:t>
            </w:r>
            <w:r w:rsidR="00BB0C93">
              <w:rPr>
                <w:rFonts w:ascii="Arial" w:hAnsi="Arial" w:cs="Arial"/>
                <w:sz w:val="20"/>
                <w:szCs w:val="20"/>
              </w:rPr>
              <w:t>sociale, medische of andere noodzakelijkheden verplaatsingen</w:t>
            </w:r>
            <w:r w:rsidR="00E97D3E">
              <w:rPr>
                <w:rFonts w:ascii="Arial" w:hAnsi="Arial" w:cs="Arial"/>
                <w:sz w:val="20"/>
                <w:szCs w:val="20"/>
              </w:rPr>
              <w:t xml:space="preserve"> buiten deze straal mogelijk te maken.</w:t>
            </w:r>
          </w:p>
        </w:tc>
        <w:tc>
          <w:tcPr>
            <w:tcW w:w="2975" w:type="dxa"/>
          </w:tcPr>
          <w:p w14:paraId="2ED2061B" w14:textId="025590DD" w:rsidR="00B57A2A" w:rsidRDefault="00E97D3E" w:rsidP="008F2B3C">
            <w:pPr>
              <w:rPr>
                <w:rFonts w:ascii="Arial" w:hAnsi="Arial" w:cs="Arial"/>
                <w:sz w:val="20"/>
                <w:szCs w:val="20"/>
              </w:rPr>
            </w:pPr>
            <w:r>
              <w:rPr>
                <w:rFonts w:ascii="Arial" w:hAnsi="Arial" w:cs="Arial"/>
                <w:sz w:val="20"/>
                <w:szCs w:val="20"/>
              </w:rPr>
              <w:t>Artikel 20 (mobiliteit)</w:t>
            </w:r>
          </w:p>
        </w:tc>
      </w:tr>
      <w:tr w:rsidR="00E27A66" w14:paraId="6AB3C780" w14:textId="77777777" w:rsidTr="00D13982">
        <w:tc>
          <w:tcPr>
            <w:tcW w:w="1347" w:type="dxa"/>
          </w:tcPr>
          <w:p w14:paraId="183B3680" w14:textId="293DDACD" w:rsidR="00E27A66" w:rsidRDefault="00E27A66" w:rsidP="008F2B3C">
            <w:pPr>
              <w:rPr>
                <w:rFonts w:ascii="Arial" w:hAnsi="Arial" w:cs="Arial"/>
                <w:sz w:val="20"/>
                <w:szCs w:val="20"/>
              </w:rPr>
            </w:pPr>
            <w:r>
              <w:rPr>
                <w:rFonts w:ascii="Arial" w:hAnsi="Arial" w:cs="Arial"/>
                <w:sz w:val="20"/>
                <w:szCs w:val="20"/>
              </w:rPr>
              <w:t>Artikel 9.2.</w:t>
            </w:r>
          </w:p>
        </w:tc>
        <w:tc>
          <w:tcPr>
            <w:tcW w:w="3270" w:type="dxa"/>
          </w:tcPr>
          <w:p w14:paraId="2FC9BFFE" w14:textId="77777777" w:rsidR="004F7DC7" w:rsidRPr="00B76884" w:rsidRDefault="004F7DC7" w:rsidP="004F7DC7">
            <w:pPr>
              <w:rPr>
                <w:rFonts w:ascii="Arial" w:hAnsi="Arial" w:cs="Arial"/>
                <w:sz w:val="20"/>
                <w:szCs w:val="20"/>
              </w:rPr>
            </w:pPr>
            <w:r w:rsidRPr="00B76884">
              <w:rPr>
                <w:rFonts w:ascii="Arial" w:hAnsi="Arial" w:cs="Arial"/>
                <w:sz w:val="20"/>
                <w:szCs w:val="20"/>
              </w:rPr>
              <w:t>1. Beperkingen bij het verplaatsen in de eigen leefomgeving worden aanwezig geacht als de client het openbaar vervoer niet kan bereiken of niet kan gebruiken.</w:t>
            </w:r>
          </w:p>
          <w:p w14:paraId="32A69628" w14:textId="77777777" w:rsidR="00E27A66" w:rsidRPr="00B76884" w:rsidRDefault="00E27A66" w:rsidP="004A1AF1">
            <w:pPr>
              <w:rPr>
                <w:rFonts w:ascii="Arial" w:hAnsi="Arial" w:cs="Arial"/>
                <w:sz w:val="20"/>
                <w:szCs w:val="20"/>
              </w:rPr>
            </w:pPr>
          </w:p>
        </w:tc>
        <w:tc>
          <w:tcPr>
            <w:tcW w:w="2751" w:type="dxa"/>
          </w:tcPr>
          <w:p w14:paraId="3BDB4536" w14:textId="16B337BB" w:rsidR="00E27A66" w:rsidRDefault="001174BC" w:rsidP="008F2B3C">
            <w:pPr>
              <w:rPr>
                <w:rFonts w:ascii="Arial" w:hAnsi="Arial" w:cs="Arial"/>
                <w:sz w:val="20"/>
                <w:szCs w:val="20"/>
              </w:rPr>
            </w:pPr>
            <w:r>
              <w:rPr>
                <w:rFonts w:ascii="Arial" w:hAnsi="Arial" w:cs="Arial"/>
                <w:sz w:val="20"/>
                <w:szCs w:val="20"/>
              </w:rPr>
              <w:t xml:space="preserve">Verfijn de criteria: houd rekening met </w:t>
            </w:r>
            <w:r w:rsidR="00904D4B">
              <w:rPr>
                <w:rFonts w:ascii="Arial" w:hAnsi="Arial" w:cs="Arial"/>
                <w:sz w:val="20"/>
                <w:szCs w:val="20"/>
              </w:rPr>
              <w:t xml:space="preserve">toegankelijkheidsproblemen, zoals fysieke </w:t>
            </w:r>
            <w:r w:rsidR="003A5EE1">
              <w:rPr>
                <w:rFonts w:ascii="Arial" w:hAnsi="Arial" w:cs="Arial"/>
                <w:sz w:val="20"/>
                <w:szCs w:val="20"/>
              </w:rPr>
              <w:t>barrières</w:t>
            </w:r>
            <w:r w:rsidR="00904D4B">
              <w:rPr>
                <w:rFonts w:ascii="Arial" w:hAnsi="Arial" w:cs="Arial"/>
                <w:sz w:val="20"/>
                <w:szCs w:val="20"/>
              </w:rPr>
              <w:t xml:space="preserve">, </w:t>
            </w:r>
            <w:r w:rsidR="00DE7E53">
              <w:rPr>
                <w:rFonts w:ascii="Arial" w:hAnsi="Arial" w:cs="Arial"/>
                <w:sz w:val="20"/>
                <w:szCs w:val="20"/>
              </w:rPr>
              <w:t>beperkte beschikbaarheid van aangepast openbaar vervoer en de onbetrouwbaarheid</w:t>
            </w:r>
            <w:r w:rsidR="003A5EE1">
              <w:rPr>
                <w:rFonts w:ascii="Arial" w:hAnsi="Arial" w:cs="Arial"/>
                <w:sz w:val="20"/>
                <w:szCs w:val="20"/>
              </w:rPr>
              <w:t xml:space="preserve"> van OV in landelijke gebieden</w:t>
            </w:r>
          </w:p>
        </w:tc>
        <w:tc>
          <w:tcPr>
            <w:tcW w:w="2975" w:type="dxa"/>
          </w:tcPr>
          <w:p w14:paraId="3D290D24" w14:textId="77777777" w:rsidR="00E27A66" w:rsidRDefault="003A5EE1" w:rsidP="008F2B3C">
            <w:pPr>
              <w:rPr>
                <w:rFonts w:ascii="Arial" w:hAnsi="Arial" w:cs="Arial"/>
                <w:sz w:val="20"/>
                <w:szCs w:val="20"/>
              </w:rPr>
            </w:pPr>
            <w:r>
              <w:rPr>
                <w:rFonts w:ascii="Arial" w:hAnsi="Arial" w:cs="Arial"/>
                <w:sz w:val="20"/>
                <w:szCs w:val="20"/>
              </w:rPr>
              <w:t>Artikel 9 (Toegankelijkheid)</w:t>
            </w:r>
          </w:p>
          <w:p w14:paraId="65FB09CC" w14:textId="04F5443B" w:rsidR="003A5EE1" w:rsidRDefault="003A5EE1" w:rsidP="008F2B3C">
            <w:pPr>
              <w:rPr>
                <w:rFonts w:ascii="Arial" w:hAnsi="Arial" w:cs="Arial"/>
                <w:sz w:val="20"/>
                <w:szCs w:val="20"/>
              </w:rPr>
            </w:pPr>
            <w:r>
              <w:rPr>
                <w:rFonts w:ascii="Arial" w:hAnsi="Arial" w:cs="Arial"/>
                <w:sz w:val="20"/>
                <w:szCs w:val="20"/>
              </w:rPr>
              <w:t xml:space="preserve">Artikel </w:t>
            </w:r>
            <w:r w:rsidR="006126C6">
              <w:rPr>
                <w:rFonts w:ascii="Arial" w:hAnsi="Arial" w:cs="Arial"/>
                <w:sz w:val="20"/>
                <w:szCs w:val="20"/>
              </w:rPr>
              <w:t>20 (mobiliteit)</w:t>
            </w:r>
          </w:p>
        </w:tc>
      </w:tr>
      <w:tr w:rsidR="006126C6" w14:paraId="7A7EA09C" w14:textId="77777777" w:rsidTr="00D13982">
        <w:tc>
          <w:tcPr>
            <w:tcW w:w="1347" w:type="dxa"/>
          </w:tcPr>
          <w:p w14:paraId="7E6E69EB" w14:textId="08BF0405" w:rsidR="006126C6" w:rsidRDefault="006126C6" w:rsidP="008F2B3C">
            <w:pPr>
              <w:rPr>
                <w:rFonts w:ascii="Arial" w:hAnsi="Arial" w:cs="Arial"/>
                <w:sz w:val="20"/>
                <w:szCs w:val="20"/>
              </w:rPr>
            </w:pPr>
            <w:r>
              <w:rPr>
                <w:rFonts w:ascii="Arial" w:hAnsi="Arial" w:cs="Arial"/>
                <w:sz w:val="20"/>
                <w:szCs w:val="20"/>
              </w:rPr>
              <w:t>Artikel 9.2.</w:t>
            </w:r>
          </w:p>
        </w:tc>
        <w:tc>
          <w:tcPr>
            <w:tcW w:w="3270" w:type="dxa"/>
          </w:tcPr>
          <w:p w14:paraId="6CE24EB6" w14:textId="19CFBE88" w:rsidR="006126C6" w:rsidRPr="00B76884" w:rsidRDefault="009F76D8" w:rsidP="004F7DC7">
            <w:pPr>
              <w:rPr>
                <w:rFonts w:ascii="Arial" w:hAnsi="Arial" w:cs="Arial"/>
                <w:sz w:val="20"/>
                <w:szCs w:val="20"/>
              </w:rPr>
            </w:pPr>
            <w:r w:rsidRPr="00B76884">
              <w:rPr>
                <w:rFonts w:ascii="Arial" w:hAnsi="Arial" w:cs="Arial"/>
                <w:sz w:val="20"/>
                <w:szCs w:val="20"/>
              </w:rPr>
              <w:t>2. Het college kan ter beoordeling hiervan nadere regels opstellen</w:t>
            </w:r>
          </w:p>
        </w:tc>
        <w:tc>
          <w:tcPr>
            <w:tcW w:w="2751" w:type="dxa"/>
          </w:tcPr>
          <w:p w14:paraId="40F27D26" w14:textId="7D753E28" w:rsidR="006126C6" w:rsidRDefault="003D5D98" w:rsidP="008F2B3C">
            <w:pPr>
              <w:rPr>
                <w:rFonts w:ascii="Arial" w:hAnsi="Arial" w:cs="Arial"/>
                <w:sz w:val="20"/>
                <w:szCs w:val="20"/>
              </w:rPr>
            </w:pPr>
            <w:r>
              <w:rPr>
                <w:rFonts w:ascii="Arial" w:hAnsi="Arial" w:cs="Arial"/>
                <w:sz w:val="20"/>
                <w:szCs w:val="20"/>
              </w:rPr>
              <w:t>Verduidelijk dat openbaar vervoer een aanvulling moet zijn op maatwerkvervoer</w:t>
            </w:r>
            <w:r w:rsidR="00CE7B95">
              <w:rPr>
                <w:rFonts w:ascii="Arial" w:hAnsi="Arial" w:cs="Arial"/>
                <w:sz w:val="20"/>
                <w:szCs w:val="20"/>
              </w:rPr>
              <w:t xml:space="preserve"> en niet automatisch de toegang tot vervoersvoorzieningen uitsluit. </w:t>
            </w:r>
          </w:p>
        </w:tc>
        <w:tc>
          <w:tcPr>
            <w:tcW w:w="2975" w:type="dxa"/>
          </w:tcPr>
          <w:p w14:paraId="31B7FD56" w14:textId="34E92589" w:rsidR="006126C6" w:rsidRDefault="002A24ED" w:rsidP="008F2B3C">
            <w:pPr>
              <w:rPr>
                <w:rFonts w:ascii="Arial" w:hAnsi="Arial" w:cs="Arial"/>
                <w:sz w:val="20"/>
                <w:szCs w:val="20"/>
              </w:rPr>
            </w:pPr>
            <w:r>
              <w:rPr>
                <w:rFonts w:ascii="Arial" w:hAnsi="Arial" w:cs="Arial"/>
                <w:sz w:val="20"/>
                <w:szCs w:val="20"/>
              </w:rPr>
              <w:t>Artikel 9 (Toegankelijkheid)</w:t>
            </w:r>
          </w:p>
        </w:tc>
      </w:tr>
      <w:tr w:rsidR="00D13982" w14:paraId="5AFC53CB" w14:textId="77777777" w:rsidTr="00D13982">
        <w:tc>
          <w:tcPr>
            <w:tcW w:w="1347" w:type="dxa"/>
          </w:tcPr>
          <w:p w14:paraId="482D3FAA" w14:textId="603BAF8B" w:rsidR="00D13982" w:rsidRDefault="00D13982" w:rsidP="00D13982">
            <w:pPr>
              <w:rPr>
                <w:rFonts w:ascii="Arial" w:hAnsi="Arial" w:cs="Arial"/>
                <w:sz w:val="20"/>
                <w:szCs w:val="20"/>
              </w:rPr>
            </w:pPr>
            <w:r>
              <w:rPr>
                <w:rFonts w:ascii="Arial" w:hAnsi="Arial" w:cs="Arial"/>
                <w:sz w:val="20"/>
                <w:szCs w:val="20"/>
              </w:rPr>
              <w:t>Artikel 9.3.</w:t>
            </w:r>
          </w:p>
        </w:tc>
        <w:tc>
          <w:tcPr>
            <w:tcW w:w="3270" w:type="dxa"/>
          </w:tcPr>
          <w:p w14:paraId="0AF03C38" w14:textId="349BA8AB" w:rsidR="00D13982" w:rsidRPr="00B76884" w:rsidRDefault="00D13982" w:rsidP="00D13982">
            <w:pPr>
              <w:rPr>
                <w:rFonts w:ascii="Arial" w:hAnsi="Arial" w:cs="Arial"/>
                <w:sz w:val="20"/>
                <w:szCs w:val="20"/>
              </w:rPr>
            </w:pPr>
            <w:r w:rsidRPr="00B76884">
              <w:rPr>
                <w:rFonts w:ascii="Arial" w:hAnsi="Arial" w:cs="Arial"/>
                <w:sz w:val="20"/>
                <w:szCs w:val="20"/>
              </w:rPr>
              <w:t>3. Een rit moet tijdig worden gereserveerd. Bij niet-tijdig reserveren is de client een extra bijdrage van tenminste €3.00 aan de vervoerder verschuldigd.</w:t>
            </w:r>
          </w:p>
        </w:tc>
        <w:tc>
          <w:tcPr>
            <w:tcW w:w="2751" w:type="dxa"/>
          </w:tcPr>
          <w:p w14:paraId="3D42F38E" w14:textId="2C48FC32" w:rsidR="00D13982" w:rsidRDefault="00D13982" w:rsidP="00D13982">
            <w:pPr>
              <w:rPr>
                <w:rFonts w:ascii="Arial" w:hAnsi="Arial" w:cs="Arial"/>
                <w:sz w:val="20"/>
                <w:szCs w:val="20"/>
              </w:rPr>
            </w:pPr>
            <w:r>
              <w:rPr>
                <w:rFonts w:ascii="Arial" w:hAnsi="Arial" w:cs="Arial"/>
                <w:sz w:val="20"/>
                <w:szCs w:val="20"/>
              </w:rPr>
              <w:t xml:space="preserve">Maak een uitzondering voor onverwachte en acute situaties, zoals </w:t>
            </w:r>
            <w:r w:rsidR="004A205D">
              <w:rPr>
                <w:rFonts w:ascii="Arial" w:hAnsi="Arial" w:cs="Arial"/>
                <w:sz w:val="20"/>
                <w:szCs w:val="20"/>
              </w:rPr>
              <w:t>medische situaties of noodsituaties. Om te voorkomen dat deze extra kosten de toegang tot mobiliteit beperken</w:t>
            </w:r>
          </w:p>
        </w:tc>
        <w:tc>
          <w:tcPr>
            <w:tcW w:w="2975" w:type="dxa"/>
          </w:tcPr>
          <w:p w14:paraId="7A05FD68" w14:textId="77777777" w:rsidR="00D13982" w:rsidRDefault="009F3A5D" w:rsidP="00D13982">
            <w:pPr>
              <w:rPr>
                <w:rFonts w:ascii="Arial" w:hAnsi="Arial" w:cs="Arial"/>
                <w:sz w:val="20"/>
                <w:szCs w:val="20"/>
              </w:rPr>
            </w:pPr>
            <w:r>
              <w:rPr>
                <w:rFonts w:ascii="Arial" w:hAnsi="Arial" w:cs="Arial"/>
                <w:sz w:val="20"/>
                <w:szCs w:val="20"/>
              </w:rPr>
              <w:t>Artikel 5 (non-discriminatie)</w:t>
            </w:r>
          </w:p>
          <w:p w14:paraId="4C8665CD" w14:textId="40AD0FD2" w:rsidR="009F3A5D" w:rsidRDefault="009F3A5D" w:rsidP="00D13982">
            <w:pPr>
              <w:rPr>
                <w:rFonts w:ascii="Arial" w:hAnsi="Arial" w:cs="Arial"/>
                <w:sz w:val="20"/>
                <w:szCs w:val="20"/>
              </w:rPr>
            </w:pPr>
            <w:r>
              <w:rPr>
                <w:rFonts w:ascii="Arial" w:hAnsi="Arial" w:cs="Arial"/>
                <w:sz w:val="20"/>
                <w:szCs w:val="20"/>
              </w:rPr>
              <w:t>Artikel 20 (mobiliteit)</w:t>
            </w:r>
          </w:p>
        </w:tc>
      </w:tr>
      <w:tr w:rsidR="009F3A5D" w14:paraId="368A8C71" w14:textId="77777777" w:rsidTr="00D13982">
        <w:tc>
          <w:tcPr>
            <w:tcW w:w="1347" w:type="dxa"/>
          </w:tcPr>
          <w:p w14:paraId="2FA8A64B" w14:textId="1DD62859" w:rsidR="009F3A5D" w:rsidRDefault="008D1087" w:rsidP="00D13982">
            <w:pPr>
              <w:rPr>
                <w:rFonts w:ascii="Arial" w:hAnsi="Arial" w:cs="Arial"/>
                <w:sz w:val="20"/>
                <w:szCs w:val="20"/>
              </w:rPr>
            </w:pPr>
            <w:r>
              <w:rPr>
                <w:rFonts w:ascii="Arial" w:hAnsi="Arial" w:cs="Arial"/>
                <w:sz w:val="20"/>
                <w:szCs w:val="20"/>
              </w:rPr>
              <w:t>Artikel 9.4.</w:t>
            </w:r>
          </w:p>
        </w:tc>
        <w:tc>
          <w:tcPr>
            <w:tcW w:w="3270" w:type="dxa"/>
          </w:tcPr>
          <w:p w14:paraId="74005C17" w14:textId="18E19CCD" w:rsidR="009F3A5D" w:rsidRPr="00B76884" w:rsidRDefault="00957D89" w:rsidP="00D13982">
            <w:pPr>
              <w:rPr>
                <w:rFonts w:ascii="Arial" w:hAnsi="Arial" w:cs="Arial"/>
                <w:sz w:val="20"/>
                <w:szCs w:val="20"/>
              </w:rPr>
            </w:pPr>
            <w:r w:rsidRPr="00B76884">
              <w:rPr>
                <w:rFonts w:ascii="Arial" w:hAnsi="Arial" w:cs="Arial"/>
                <w:sz w:val="20"/>
                <w:szCs w:val="20"/>
              </w:rPr>
              <w:t>1. Vervoersmiddelen kunnen worden verstrekt aanvullend op het maatwerkvervoer, mits wordt voldaan aan de door het college in een beleidsregel vastgestelde criteria</w:t>
            </w:r>
          </w:p>
        </w:tc>
        <w:tc>
          <w:tcPr>
            <w:tcW w:w="2751" w:type="dxa"/>
          </w:tcPr>
          <w:p w14:paraId="4CD9DE2F" w14:textId="0917F20C" w:rsidR="009F3A5D" w:rsidRDefault="00957D89" w:rsidP="00D13982">
            <w:pPr>
              <w:rPr>
                <w:rFonts w:ascii="Arial" w:hAnsi="Arial" w:cs="Arial"/>
                <w:sz w:val="20"/>
                <w:szCs w:val="20"/>
              </w:rPr>
            </w:pPr>
            <w:r>
              <w:rPr>
                <w:rFonts w:ascii="Arial" w:hAnsi="Arial" w:cs="Arial"/>
                <w:sz w:val="20"/>
                <w:szCs w:val="20"/>
              </w:rPr>
              <w:t>Zorg voor een regelmatige evaluatie</w:t>
            </w:r>
            <w:r w:rsidR="003C3093">
              <w:rPr>
                <w:rFonts w:ascii="Arial" w:hAnsi="Arial" w:cs="Arial"/>
                <w:sz w:val="20"/>
                <w:szCs w:val="20"/>
              </w:rPr>
              <w:t xml:space="preserve"> van deze criteria met aandacht voor technologische ontwikkelingen</w:t>
            </w:r>
            <w:r w:rsidR="00C61B0C">
              <w:rPr>
                <w:rFonts w:ascii="Arial" w:hAnsi="Arial" w:cs="Arial"/>
                <w:sz w:val="20"/>
                <w:szCs w:val="20"/>
              </w:rPr>
              <w:t xml:space="preserve"> (zoals elektrische hulpmiddelen) en veranderende mobiliteitsbehoeften van </w:t>
            </w:r>
            <w:proofErr w:type="spellStart"/>
            <w:r w:rsidR="00C61B0C">
              <w:rPr>
                <w:rFonts w:ascii="Arial" w:hAnsi="Arial" w:cs="Arial"/>
                <w:sz w:val="20"/>
                <w:szCs w:val="20"/>
              </w:rPr>
              <w:t>clienten</w:t>
            </w:r>
            <w:proofErr w:type="spellEnd"/>
            <w:r w:rsidR="00C61B0C">
              <w:rPr>
                <w:rFonts w:ascii="Arial" w:hAnsi="Arial" w:cs="Arial"/>
                <w:sz w:val="20"/>
                <w:szCs w:val="20"/>
              </w:rPr>
              <w:t>.</w:t>
            </w:r>
          </w:p>
        </w:tc>
        <w:tc>
          <w:tcPr>
            <w:tcW w:w="2975" w:type="dxa"/>
          </w:tcPr>
          <w:p w14:paraId="546E200F" w14:textId="77777777" w:rsidR="009F3A5D" w:rsidRDefault="00E3281E" w:rsidP="00D13982">
            <w:pPr>
              <w:rPr>
                <w:rFonts w:ascii="Arial" w:hAnsi="Arial" w:cs="Arial"/>
                <w:sz w:val="20"/>
                <w:szCs w:val="20"/>
              </w:rPr>
            </w:pPr>
            <w:r>
              <w:rPr>
                <w:rFonts w:ascii="Arial" w:hAnsi="Arial" w:cs="Arial"/>
                <w:sz w:val="20"/>
                <w:szCs w:val="20"/>
              </w:rPr>
              <w:t>Artikel 20 (mobiliteit)</w:t>
            </w:r>
          </w:p>
          <w:p w14:paraId="5D2D866B" w14:textId="61FD5BC1" w:rsidR="00E3281E" w:rsidRDefault="00E3281E" w:rsidP="00D13982">
            <w:pPr>
              <w:rPr>
                <w:rFonts w:ascii="Arial" w:hAnsi="Arial" w:cs="Arial"/>
                <w:sz w:val="20"/>
                <w:szCs w:val="20"/>
              </w:rPr>
            </w:pPr>
            <w:r>
              <w:rPr>
                <w:rFonts w:ascii="Arial" w:hAnsi="Arial" w:cs="Arial"/>
                <w:sz w:val="20"/>
                <w:szCs w:val="20"/>
              </w:rPr>
              <w:t>Artikel 4 (onderzoek en innovatie)</w:t>
            </w:r>
          </w:p>
        </w:tc>
      </w:tr>
    </w:tbl>
    <w:p w14:paraId="62A8755D" w14:textId="77777777" w:rsidR="00492F04" w:rsidRPr="00B76884" w:rsidRDefault="00492F04" w:rsidP="00B76884">
      <w:pPr>
        <w:rPr>
          <w:rFonts w:ascii="Arial" w:hAnsi="Arial" w:cs="Arial"/>
          <w:b/>
          <w:bCs/>
          <w:sz w:val="20"/>
          <w:szCs w:val="20"/>
          <w:u w:val="single"/>
        </w:rPr>
      </w:pPr>
    </w:p>
    <w:p w14:paraId="23355770" w14:textId="682D4DE7" w:rsidR="009A5822" w:rsidRPr="00B76884" w:rsidRDefault="00B358FA" w:rsidP="00C27C35">
      <w:pPr>
        <w:rPr>
          <w:rFonts w:ascii="Arial" w:hAnsi="Arial" w:cs="Arial"/>
          <w:b/>
          <w:bCs/>
          <w:sz w:val="20"/>
          <w:szCs w:val="20"/>
          <w:u w:val="single"/>
        </w:rPr>
      </w:pPr>
      <w:r w:rsidRPr="00B76884">
        <w:rPr>
          <w:rFonts w:ascii="Arial" w:hAnsi="Arial" w:cs="Arial"/>
          <w:b/>
          <w:bCs/>
          <w:sz w:val="20"/>
          <w:szCs w:val="20"/>
          <w:u w:val="single"/>
        </w:rPr>
        <w:t>Gebruikelijke hulp</w:t>
      </w:r>
      <w:r w:rsidR="00B4452E">
        <w:rPr>
          <w:rFonts w:ascii="Arial" w:hAnsi="Arial" w:cs="Arial"/>
          <w:b/>
          <w:bCs/>
          <w:sz w:val="20"/>
          <w:szCs w:val="20"/>
          <w:u w:val="single"/>
        </w:rPr>
        <w:t xml:space="preserve"> en eigen kracht </w:t>
      </w:r>
    </w:p>
    <w:p w14:paraId="2B2C3B5C" w14:textId="77777777" w:rsidR="00B358FA" w:rsidRPr="00B76884" w:rsidRDefault="00B358FA" w:rsidP="00C27C35">
      <w:pPr>
        <w:rPr>
          <w:rFonts w:ascii="Arial" w:hAnsi="Arial" w:cs="Arial"/>
          <w:b/>
          <w:bCs/>
          <w:sz w:val="20"/>
          <w:szCs w:val="20"/>
          <w:u w:val="single"/>
        </w:rPr>
      </w:pPr>
    </w:p>
    <w:tbl>
      <w:tblPr>
        <w:tblStyle w:val="Tabelraster"/>
        <w:tblW w:w="10343" w:type="dxa"/>
        <w:tblLook w:val="04A0" w:firstRow="1" w:lastRow="0" w:firstColumn="1" w:lastColumn="0" w:noHBand="0" w:noVBand="1"/>
      </w:tblPr>
      <w:tblGrid>
        <w:gridCol w:w="1413"/>
        <w:gridCol w:w="3401"/>
        <w:gridCol w:w="2407"/>
        <w:gridCol w:w="3122"/>
      </w:tblGrid>
      <w:tr w:rsidR="00803AD6" w14:paraId="75C41DFC" w14:textId="77777777" w:rsidTr="000F53B9">
        <w:tc>
          <w:tcPr>
            <w:tcW w:w="1413" w:type="dxa"/>
          </w:tcPr>
          <w:p w14:paraId="385C9C24" w14:textId="702202E2" w:rsidR="00803AD6" w:rsidRDefault="00803AD6" w:rsidP="00C27C35">
            <w:pPr>
              <w:rPr>
                <w:rFonts w:ascii="Arial" w:hAnsi="Arial" w:cs="Arial"/>
                <w:b/>
                <w:bCs/>
                <w:sz w:val="20"/>
                <w:szCs w:val="20"/>
              </w:rPr>
            </w:pPr>
            <w:r>
              <w:rPr>
                <w:rFonts w:ascii="Arial" w:hAnsi="Arial" w:cs="Arial"/>
                <w:b/>
                <w:bCs/>
                <w:sz w:val="20"/>
                <w:szCs w:val="20"/>
              </w:rPr>
              <w:t>Artikel</w:t>
            </w:r>
          </w:p>
        </w:tc>
        <w:tc>
          <w:tcPr>
            <w:tcW w:w="3401" w:type="dxa"/>
          </w:tcPr>
          <w:p w14:paraId="53DEDA95" w14:textId="0987A810" w:rsidR="00803AD6" w:rsidRDefault="00803AD6" w:rsidP="00C27C35">
            <w:pPr>
              <w:rPr>
                <w:rFonts w:ascii="Arial" w:hAnsi="Arial" w:cs="Arial"/>
                <w:b/>
                <w:bCs/>
                <w:sz w:val="20"/>
                <w:szCs w:val="20"/>
              </w:rPr>
            </w:pPr>
            <w:r>
              <w:rPr>
                <w:rFonts w:ascii="Arial" w:hAnsi="Arial" w:cs="Arial"/>
                <w:b/>
                <w:bCs/>
                <w:sz w:val="20"/>
                <w:szCs w:val="20"/>
              </w:rPr>
              <w:t>Huidige tekst</w:t>
            </w:r>
          </w:p>
        </w:tc>
        <w:tc>
          <w:tcPr>
            <w:tcW w:w="2407" w:type="dxa"/>
          </w:tcPr>
          <w:p w14:paraId="2774673D" w14:textId="7DA80A5A" w:rsidR="00803AD6" w:rsidRDefault="00803AD6" w:rsidP="00C27C35">
            <w:pPr>
              <w:rPr>
                <w:rFonts w:ascii="Arial" w:hAnsi="Arial" w:cs="Arial"/>
                <w:b/>
                <w:bCs/>
                <w:sz w:val="20"/>
                <w:szCs w:val="20"/>
              </w:rPr>
            </w:pPr>
            <w:r>
              <w:rPr>
                <w:rFonts w:ascii="Arial" w:hAnsi="Arial" w:cs="Arial"/>
                <w:b/>
                <w:bCs/>
                <w:sz w:val="20"/>
                <w:szCs w:val="20"/>
              </w:rPr>
              <w:t>Verbeterpunten</w:t>
            </w:r>
          </w:p>
        </w:tc>
        <w:tc>
          <w:tcPr>
            <w:tcW w:w="3122" w:type="dxa"/>
          </w:tcPr>
          <w:p w14:paraId="37A95239" w14:textId="14B76DA3" w:rsidR="00803AD6" w:rsidRDefault="00803AD6" w:rsidP="00C27C35">
            <w:pPr>
              <w:rPr>
                <w:rFonts w:ascii="Arial" w:hAnsi="Arial" w:cs="Arial"/>
                <w:b/>
                <w:bCs/>
                <w:sz w:val="20"/>
                <w:szCs w:val="20"/>
              </w:rPr>
            </w:pPr>
            <w:r>
              <w:rPr>
                <w:rFonts w:ascii="Arial" w:hAnsi="Arial" w:cs="Arial"/>
                <w:b/>
                <w:bCs/>
                <w:sz w:val="20"/>
                <w:szCs w:val="20"/>
              </w:rPr>
              <w:t>Verwijzing VN verdrag</w:t>
            </w:r>
          </w:p>
        </w:tc>
      </w:tr>
      <w:tr w:rsidR="00803AD6" w14:paraId="169CD463" w14:textId="77777777" w:rsidTr="000F53B9">
        <w:tc>
          <w:tcPr>
            <w:tcW w:w="1413" w:type="dxa"/>
          </w:tcPr>
          <w:p w14:paraId="7FBF3F1C" w14:textId="2F0E23B5" w:rsidR="00803AD6" w:rsidRPr="00803AD6" w:rsidRDefault="00803AD6" w:rsidP="00803AD6">
            <w:pPr>
              <w:rPr>
                <w:rFonts w:ascii="Arial" w:hAnsi="Arial" w:cs="Arial"/>
                <w:sz w:val="20"/>
                <w:szCs w:val="20"/>
              </w:rPr>
            </w:pPr>
            <w:r w:rsidRPr="00803AD6">
              <w:rPr>
                <w:rFonts w:ascii="Arial" w:hAnsi="Arial" w:cs="Arial"/>
                <w:sz w:val="20"/>
                <w:szCs w:val="20"/>
              </w:rPr>
              <w:t>Artikel 1.1.</w:t>
            </w:r>
          </w:p>
        </w:tc>
        <w:tc>
          <w:tcPr>
            <w:tcW w:w="3401" w:type="dxa"/>
          </w:tcPr>
          <w:p w14:paraId="09369C31" w14:textId="0F22AF43" w:rsidR="00803AD6" w:rsidRPr="00446D6C" w:rsidRDefault="00EB7CE5" w:rsidP="00803AD6">
            <w:pPr>
              <w:rPr>
                <w:rFonts w:ascii="Arial" w:hAnsi="Arial" w:cs="Arial"/>
                <w:sz w:val="20"/>
                <w:szCs w:val="20"/>
              </w:rPr>
            </w:pPr>
            <w:r>
              <w:rPr>
                <w:rFonts w:ascii="Arial" w:hAnsi="Arial" w:cs="Arial"/>
                <w:sz w:val="20"/>
                <w:szCs w:val="20"/>
              </w:rPr>
              <w:t xml:space="preserve">e. Eigen kracht: mogelijkheden van de client om zelf </w:t>
            </w:r>
            <w:r w:rsidR="0069087D">
              <w:rPr>
                <w:rFonts w:ascii="Arial" w:hAnsi="Arial" w:cs="Arial"/>
                <w:sz w:val="20"/>
                <w:szCs w:val="20"/>
              </w:rPr>
              <w:t>en met het sociale netwerk ondersteuning te realiseren</w:t>
            </w:r>
            <w:r w:rsidR="00803AD6" w:rsidRPr="00446D6C">
              <w:rPr>
                <w:rFonts w:ascii="Arial" w:hAnsi="Arial" w:cs="Arial"/>
                <w:sz w:val="20"/>
                <w:szCs w:val="20"/>
              </w:rPr>
              <w:t xml:space="preserve"> </w:t>
            </w:r>
          </w:p>
          <w:p w14:paraId="66E50B08" w14:textId="77777777" w:rsidR="00803AD6" w:rsidRDefault="00803AD6" w:rsidP="00803AD6">
            <w:pPr>
              <w:rPr>
                <w:rFonts w:ascii="Arial" w:hAnsi="Arial" w:cs="Arial"/>
                <w:b/>
                <w:bCs/>
                <w:sz w:val="20"/>
                <w:szCs w:val="20"/>
              </w:rPr>
            </w:pPr>
          </w:p>
        </w:tc>
        <w:tc>
          <w:tcPr>
            <w:tcW w:w="2407" w:type="dxa"/>
          </w:tcPr>
          <w:p w14:paraId="7BE52777" w14:textId="679BA1FF" w:rsidR="00803AD6" w:rsidRDefault="00803AD6" w:rsidP="00803AD6">
            <w:pPr>
              <w:rPr>
                <w:rFonts w:ascii="Arial" w:hAnsi="Arial" w:cs="Arial"/>
                <w:b/>
                <w:bCs/>
                <w:sz w:val="20"/>
                <w:szCs w:val="20"/>
              </w:rPr>
            </w:pPr>
            <w:r>
              <w:rPr>
                <w:rFonts w:ascii="Arial" w:hAnsi="Arial" w:cs="Arial"/>
                <w:sz w:val="20"/>
                <w:szCs w:val="20"/>
              </w:rPr>
              <w:t xml:space="preserve">Specifieer de grenzen van </w:t>
            </w:r>
            <w:r w:rsidR="00132D6B">
              <w:rPr>
                <w:rFonts w:ascii="Arial" w:hAnsi="Arial" w:cs="Arial"/>
                <w:sz w:val="20"/>
                <w:szCs w:val="20"/>
              </w:rPr>
              <w:t xml:space="preserve">eigen kracht. </w:t>
            </w:r>
            <w:r>
              <w:rPr>
                <w:rFonts w:ascii="Arial" w:hAnsi="Arial" w:cs="Arial"/>
                <w:sz w:val="20"/>
                <w:szCs w:val="20"/>
              </w:rPr>
              <w:t>Rekening houdend met fysieke, mentale en financiële beperkingen. Voeg grenzen toe om cliënten bewust te maken van hun rechten en mogelijkheden.</w:t>
            </w:r>
          </w:p>
        </w:tc>
        <w:tc>
          <w:tcPr>
            <w:tcW w:w="3122" w:type="dxa"/>
          </w:tcPr>
          <w:p w14:paraId="159171C2" w14:textId="77777777" w:rsidR="00803AD6" w:rsidRPr="000F53B9" w:rsidRDefault="00803AD6" w:rsidP="00803AD6">
            <w:pPr>
              <w:rPr>
                <w:rFonts w:ascii="Arial" w:hAnsi="Arial" w:cs="Arial"/>
                <w:sz w:val="20"/>
                <w:szCs w:val="20"/>
              </w:rPr>
            </w:pPr>
            <w:r w:rsidRPr="000F53B9">
              <w:rPr>
                <w:rFonts w:ascii="Arial" w:hAnsi="Arial" w:cs="Arial"/>
                <w:sz w:val="20"/>
                <w:szCs w:val="20"/>
              </w:rPr>
              <w:t>Artikel 3 (Gelijkheid</w:t>
            </w:r>
            <w:r w:rsidR="008E7445" w:rsidRPr="000F53B9">
              <w:rPr>
                <w:rFonts w:ascii="Arial" w:hAnsi="Arial" w:cs="Arial"/>
                <w:sz w:val="20"/>
                <w:szCs w:val="20"/>
              </w:rPr>
              <w:t xml:space="preserve"> en inclusie)</w:t>
            </w:r>
          </w:p>
          <w:p w14:paraId="21280036" w14:textId="27E08723" w:rsidR="008E7445" w:rsidRDefault="008E7445" w:rsidP="00803AD6">
            <w:pPr>
              <w:rPr>
                <w:rFonts w:ascii="Arial" w:hAnsi="Arial" w:cs="Arial"/>
                <w:b/>
                <w:bCs/>
                <w:sz w:val="20"/>
                <w:szCs w:val="20"/>
              </w:rPr>
            </w:pPr>
            <w:r w:rsidRPr="000F53B9">
              <w:rPr>
                <w:rFonts w:ascii="Arial" w:hAnsi="Arial" w:cs="Arial"/>
                <w:sz w:val="20"/>
                <w:szCs w:val="20"/>
              </w:rPr>
              <w:t>Artikel 9 (Toegankelijkheid van informatie en ondersteuning</w:t>
            </w:r>
            <w:r w:rsidR="000F53B9" w:rsidRPr="000F53B9">
              <w:rPr>
                <w:rFonts w:ascii="Arial" w:hAnsi="Arial" w:cs="Arial"/>
                <w:sz w:val="20"/>
                <w:szCs w:val="20"/>
              </w:rPr>
              <w:t>)</w:t>
            </w:r>
          </w:p>
        </w:tc>
      </w:tr>
      <w:tr w:rsidR="00803AD6" w14:paraId="258202A0" w14:textId="77777777" w:rsidTr="000F53B9">
        <w:tc>
          <w:tcPr>
            <w:tcW w:w="1413" w:type="dxa"/>
          </w:tcPr>
          <w:p w14:paraId="198C995B" w14:textId="23F3DC63" w:rsidR="00803AD6" w:rsidRPr="000F53B9" w:rsidRDefault="00EF5EC4" w:rsidP="00803AD6">
            <w:pPr>
              <w:rPr>
                <w:rFonts w:ascii="Arial" w:hAnsi="Arial" w:cs="Arial"/>
                <w:sz w:val="20"/>
                <w:szCs w:val="20"/>
              </w:rPr>
            </w:pPr>
            <w:r>
              <w:rPr>
                <w:rFonts w:ascii="Arial" w:hAnsi="Arial" w:cs="Arial"/>
                <w:sz w:val="20"/>
                <w:szCs w:val="20"/>
              </w:rPr>
              <w:t>Artikel 1.1.</w:t>
            </w:r>
          </w:p>
        </w:tc>
        <w:tc>
          <w:tcPr>
            <w:tcW w:w="3401" w:type="dxa"/>
          </w:tcPr>
          <w:p w14:paraId="0664CE03" w14:textId="5DE61835" w:rsidR="00D739E4" w:rsidRPr="00446D6C" w:rsidRDefault="006231D5" w:rsidP="00D739E4">
            <w:pPr>
              <w:rPr>
                <w:rFonts w:ascii="Arial" w:hAnsi="Arial" w:cs="Arial"/>
                <w:sz w:val="20"/>
                <w:szCs w:val="20"/>
              </w:rPr>
            </w:pPr>
            <w:r>
              <w:rPr>
                <w:rFonts w:ascii="Arial" w:hAnsi="Arial" w:cs="Arial"/>
                <w:sz w:val="20"/>
                <w:szCs w:val="20"/>
              </w:rPr>
              <w:t>g.</w:t>
            </w:r>
            <w:r w:rsidR="00D739E4">
              <w:rPr>
                <w:rFonts w:ascii="Arial" w:hAnsi="Arial" w:cs="Arial"/>
                <w:sz w:val="20"/>
                <w:szCs w:val="20"/>
              </w:rPr>
              <w:t xml:space="preserve"> </w:t>
            </w:r>
            <w:r w:rsidR="00D739E4" w:rsidRPr="00B76884">
              <w:rPr>
                <w:rFonts w:ascii="Arial" w:hAnsi="Arial" w:cs="Arial"/>
                <w:sz w:val="20"/>
                <w:szCs w:val="20"/>
              </w:rPr>
              <w:t>G</w:t>
            </w:r>
            <w:r w:rsidR="00D739E4" w:rsidRPr="00446D6C">
              <w:rPr>
                <w:rFonts w:ascii="Arial" w:hAnsi="Arial" w:cs="Arial"/>
                <w:sz w:val="20"/>
                <w:szCs w:val="20"/>
              </w:rPr>
              <w:t xml:space="preserve">ebruikelijke hulp: de hulp die naar algemeen aanvaardbare </w:t>
            </w:r>
            <w:r w:rsidR="00D739E4" w:rsidRPr="00446D6C">
              <w:rPr>
                <w:rFonts w:ascii="Arial" w:hAnsi="Arial" w:cs="Arial"/>
                <w:sz w:val="20"/>
                <w:szCs w:val="20"/>
              </w:rPr>
              <w:lastRenderedPageBreak/>
              <w:t xml:space="preserve">opvattingen in redelijkheid mag worden verwacht van de huisgenoten, tot wie gerekend worden, de partner, ouders, inwonende kinderen en andere huisgenoten. </w:t>
            </w:r>
          </w:p>
          <w:p w14:paraId="41E40529" w14:textId="77777777" w:rsidR="00803AD6" w:rsidRDefault="00803AD6" w:rsidP="00803AD6">
            <w:pPr>
              <w:rPr>
                <w:rFonts w:ascii="Arial" w:hAnsi="Arial" w:cs="Arial"/>
                <w:b/>
                <w:bCs/>
                <w:sz w:val="20"/>
                <w:szCs w:val="20"/>
              </w:rPr>
            </w:pPr>
          </w:p>
        </w:tc>
        <w:tc>
          <w:tcPr>
            <w:tcW w:w="2407" w:type="dxa"/>
          </w:tcPr>
          <w:p w14:paraId="63A6CC36" w14:textId="361BFC57" w:rsidR="00803AD6" w:rsidRDefault="00AD7534" w:rsidP="00803AD6">
            <w:pPr>
              <w:rPr>
                <w:rFonts w:ascii="Arial" w:hAnsi="Arial" w:cs="Arial"/>
                <w:b/>
                <w:bCs/>
                <w:sz w:val="20"/>
                <w:szCs w:val="20"/>
              </w:rPr>
            </w:pPr>
            <w:r w:rsidRPr="00AD7534">
              <w:rPr>
                <w:rFonts w:ascii="Arial" w:hAnsi="Arial" w:cs="Arial"/>
                <w:sz w:val="20"/>
                <w:szCs w:val="20"/>
              </w:rPr>
              <w:lastRenderedPageBreak/>
              <w:t>Definieer</w:t>
            </w:r>
            <w:r w:rsidR="00132D6B" w:rsidRPr="00AD7534">
              <w:rPr>
                <w:rFonts w:ascii="Arial" w:hAnsi="Arial" w:cs="Arial"/>
                <w:sz w:val="20"/>
                <w:szCs w:val="20"/>
              </w:rPr>
              <w:t xml:space="preserve"> duidelijker</w:t>
            </w:r>
            <w:r w:rsidR="00020AB9" w:rsidRPr="00AD7534">
              <w:rPr>
                <w:rFonts w:ascii="Arial" w:hAnsi="Arial" w:cs="Arial"/>
                <w:sz w:val="20"/>
                <w:szCs w:val="20"/>
              </w:rPr>
              <w:t xml:space="preserve"> wanneer </w:t>
            </w:r>
            <w:r w:rsidRPr="00AD7534">
              <w:rPr>
                <w:rFonts w:ascii="Arial" w:hAnsi="Arial" w:cs="Arial"/>
                <w:sz w:val="20"/>
                <w:szCs w:val="20"/>
              </w:rPr>
              <w:t xml:space="preserve">boven </w:t>
            </w:r>
            <w:r w:rsidRPr="00AD7534">
              <w:rPr>
                <w:rFonts w:ascii="Arial" w:hAnsi="Arial" w:cs="Arial"/>
                <w:sz w:val="20"/>
                <w:szCs w:val="20"/>
              </w:rPr>
              <w:lastRenderedPageBreak/>
              <w:t>gebruikelijke</w:t>
            </w:r>
            <w:r w:rsidR="00020AB9" w:rsidRPr="00AD7534">
              <w:rPr>
                <w:rFonts w:ascii="Arial" w:hAnsi="Arial" w:cs="Arial"/>
                <w:sz w:val="20"/>
                <w:szCs w:val="20"/>
              </w:rPr>
              <w:t xml:space="preserve"> hulp aan de orde is.</w:t>
            </w:r>
            <w:r w:rsidR="00020AB9">
              <w:rPr>
                <w:rFonts w:ascii="Arial" w:hAnsi="Arial" w:cs="Arial"/>
                <w:b/>
                <w:bCs/>
                <w:sz w:val="20"/>
                <w:szCs w:val="20"/>
              </w:rPr>
              <w:t xml:space="preserve"> </w:t>
            </w:r>
            <w:r w:rsidR="00D62E86" w:rsidRPr="008C08F6">
              <w:rPr>
                <w:rFonts w:ascii="Arial" w:hAnsi="Arial" w:cs="Arial"/>
                <w:sz w:val="20"/>
                <w:szCs w:val="20"/>
              </w:rPr>
              <w:t>Introduceer een preventieve draagkrachtanalyse om</w:t>
            </w:r>
            <w:r w:rsidR="008C08F6" w:rsidRPr="008C08F6">
              <w:rPr>
                <w:rFonts w:ascii="Arial" w:hAnsi="Arial" w:cs="Arial"/>
                <w:sz w:val="20"/>
                <w:szCs w:val="20"/>
              </w:rPr>
              <w:t xml:space="preserve"> overbelasting van huisgenoten te voorkomen</w:t>
            </w:r>
          </w:p>
        </w:tc>
        <w:tc>
          <w:tcPr>
            <w:tcW w:w="3122" w:type="dxa"/>
          </w:tcPr>
          <w:p w14:paraId="10F5170D" w14:textId="30C8B949" w:rsidR="00803AD6" w:rsidRPr="00AD7534" w:rsidRDefault="00AD7534" w:rsidP="00803AD6">
            <w:pPr>
              <w:rPr>
                <w:rFonts w:ascii="Arial" w:hAnsi="Arial" w:cs="Arial"/>
                <w:sz w:val="20"/>
                <w:szCs w:val="20"/>
              </w:rPr>
            </w:pPr>
            <w:r w:rsidRPr="00AD7534">
              <w:rPr>
                <w:rFonts w:ascii="Arial" w:hAnsi="Arial" w:cs="Arial"/>
                <w:sz w:val="20"/>
                <w:szCs w:val="20"/>
              </w:rPr>
              <w:lastRenderedPageBreak/>
              <w:t>Artikel 19</w:t>
            </w:r>
            <w:r w:rsidR="00B4452E">
              <w:rPr>
                <w:rFonts w:ascii="Arial" w:hAnsi="Arial" w:cs="Arial"/>
                <w:sz w:val="20"/>
                <w:szCs w:val="20"/>
              </w:rPr>
              <w:t xml:space="preserve"> (Onafhankelijk leven en inclusie in de gemeenschap)</w:t>
            </w:r>
          </w:p>
        </w:tc>
      </w:tr>
      <w:tr w:rsidR="006231D5" w14:paraId="0F02DC65" w14:textId="77777777" w:rsidTr="000F53B9">
        <w:tc>
          <w:tcPr>
            <w:tcW w:w="1413" w:type="dxa"/>
          </w:tcPr>
          <w:p w14:paraId="084F607D" w14:textId="067F68E7" w:rsidR="006231D5" w:rsidRDefault="006231D5" w:rsidP="00803AD6">
            <w:pPr>
              <w:rPr>
                <w:rFonts w:ascii="Arial" w:hAnsi="Arial" w:cs="Arial"/>
                <w:sz w:val="20"/>
                <w:szCs w:val="20"/>
              </w:rPr>
            </w:pPr>
            <w:r>
              <w:rPr>
                <w:rFonts w:ascii="Arial" w:hAnsi="Arial" w:cs="Arial"/>
                <w:sz w:val="20"/>
                <w:szCs w:val="20"/>
              </w:rPr>
              <w:t>Artikel 6.4.</w:t>
            </w:r>
          </w:p>
        </w:tc>
        <w:tc>
          <w:tcPr>
            <w:tcW w:w="3401" w:type="dxa"/>
          </w:tcPr>
          <w:p w14:paraId="6835485D" w14:textId="7C9A0C61" w:rsidR="006231D5" w:rsidRDefault="00067FD1" w:rsidP="00D739E4">
            <w:pPr>
              <w:rPr>
                <w:rFonts w:ascii="Arial" w:hAnsi="Arial" w:cs="Arial"/>
                <w:sz w:val="20"/>
                <w:szCs w:val="20"/>
              </w:rPr>
            </w:pPr>
            <w:r>
              <w:rPr>
                <w:rFonts w:ascii="Arial" w:hAnsi="Arial" w:cs="Arial"/>
                <w:sz w:val="20"/>
                <w:szCs w:val="20"/>
              </w:rPr>
              <w:t xml:space="preserve">Bij gebruikelijke hulp wordt rekening gehouden met </w:t>
            </w:r>
            <w:r w:rsidR="005E3787">
              <w:rPr>
                <w:rFonts w:ascii="Arial" w:hAnsi="Arial" w:cs="Arial"/>
                <w:sz w:val="20"/>
                <w:szCs w:val="20"/>
              </w:rPr>
              <w:t xml:space="preserve">leeftijd, omvang van de doelgroep en </w:t>
            </w:r>
            <w:r w:rsidR="00A01BE7">
              <w:rPr>
                <w:rFonts w:ascii="Arial" w:hAnsi="Arial" w:cs="Arial"/>
                <w:sz w:val="20"/>
                <w:szCs w:val="20"/>
              </w:rPr>
              <w:t>leerbaarheid van huisgenoten.</w:t>
            </w:r>
          </w:p>
        </w:tc>
        <w:tc>
          <w:tcPr>
            <w:tcW w:w="2407" w:type="dxa"/>
          </w:tcPr>
          <w:p w14:paraId="5F261763" w14:textId="03251448" w:rsidR="006231D5" w:rsidRPr="00AD7534" w:rsidRDefault="00A01BE7" w:rsidP="00803AD6">
            <w:pPr>
              <w:rPr>
                <w:rFonts w:ascii="Arial" w:hAnsi="Arial" w:cs="Arial"/>
                <w:sz w:val="20"/>
                <w:szCs w:val="20"/>
              </w:rPr>
            </w:pPr>
            <w:r>
              <w:rPr>
                <w:rFonts w:ascii="Arial" w:hAnsi="Arial" w:cs="Arial"/>
                <w:sz w:val="20"/>
                <w:szCs w:val="20"/>
              </w:rPr>
              <w:t xml:space="preserve">Introduceer </w:t>
            </w:r>
            <w:r w:rsidR="00B37F70">
              <w:rPr>
                <w:rFonts w:ascii="Arial" w:hAnsi="Arial" w:cs="Arial"/>
                <w:sz w:val="20"/>
                <w:szCs w:val="20"/>
              </w:rPr>
              <w:t xml:space="preserve">een duidelijke procedure voor het objectief beoordelen van overbelasting </w:t>
            </w:r>
            <w:r w:rsidR="00332A80">
              <w:rPr>
                <w:rFonts w:ascii="Arial" w:hAnsi="Arial" w:cs="Arial"/>
                <w:sz w:val="20"/>
                <w:szCs w:val="20"/>
              </w:rPr>
              <w:t>en draagkracht van huisgenoten.</w:t>
            </w:r>
          </w:p>
        </w:tc>
        <w:tc>
          <w:tcPr>
            <w:tcW w:w="3122" w:type="dxa"/>
          </w:tcPr>
          <w:p w14:paraId="535C179E" w14:textId="32F0FF41" w:rsidR="006231D5" w:rsidRPr="00AD7534" w:rsidRDefault="00332A80" w:rsidP="00803AD6">
            <w:pPr>
              <w:rPr>
                <w:rFonts w:ascii="Arial" w:hAnsi="Arial" w:cs="Arial"/>
                <w:sz w:val="20"/>
                <w:szCs w:val="20"/>
              </w:rPr>
            </w:pPr>
            <w:r>
              <w:rPr>
                <w:rFonts w:ascii="Arial" w:hAnsi="Arial" w:cs="Arial"/>
                <w:sz w:val="20"/>
                <w:szCs w:val="20"/>
              </w:rPr>
              <w:t>Artikel 28 (</w:t>
            </w:r>
            <w:r w:rsidR="000A7228">
              <w:rPr>
                <w:rFonts w:ascii="Arial" w:hAnsi="Arial" w:cs="Arial"/>
                <w:sz w:val="20"/>
                <w:szCs w:val="20"/>
              </w:rPr>
              <w:t>Adequate levensstandaard en sociale bescherming)</w:t>
            </w:r>
          </w:p>
        </w:tc>
      </w:tr>
    </w:tbl>
    <w:p w14:paraId="46229F16" w14:textId="77777777" w:rsidR="002C2A81" w:rsidRDefault="002C2A81" w:rsidP="00C27C35">
      <w:pPr>
        <w:rPr>
          <w:rFonts w:ascii="Arial" w:hAnsi="Arial" w:cs="Arial"/>
          <w:b/>
          <w:bCs/>
          <w:sz w:val="20"/>
          <w:szCs w:val="20"/>
        </w:rPr>
      </w:pPr>
    </w:p>
    <w:p w14:paraId="15784B6A" w14:textId="009A588D" w:rsidR="00803AD6" w:rsidRPr="00CA6FD1" w:rsidRDefault="00CA6FD1" w:rsidP="00C27C35">
      <w:pPr>
        <w:rPr>
          <w:rFonts w:ascii="Arial" w:hAnsi="Arial" w:cs="Arial"/>
          <w:b/>
          <w:bCs/>
          <w:sz w:val="20"/>
          <w:szCs w:val="20"/>
          <w:u w:val="single"/>
        </w:rPr>
      </w:pPr>
      <w:r w:rsidRPr="00CA6FD1">
        <w:rPr>
          <w:rFonts w:ascii="Arial" w:hAnsi="Arial" w:cs="Arial"/>
          <w:b/>
          <w:bCs/>
          <w:sz w:val="20"/>
          <w:szCs w:val="20"/>
          <w:u w:val="single"/>
        </w:rPr>
        <w:t>Toegankelijkheid</w:t>
      </w:r>
    </w:p>
    <w:p w14:paraId="6921C9B3" w14:textId="0625487F" w:rsidR="00BE18FB" w:rsidRDefault="00BE18FB" w:rsidP="00C27C35">
      <w:pPr>
        <w:rPr>
          <w:rFonts w:ascii="Arial" w:hAnsi="Arial" w:cs="Arial"/>
          <w:sz w:val="20"/>
          <w:szCs w:val="20"/>
        </w:rPr>
      </w:pPr>
    </w:p>
    <w:tbl>
      <w:tblPr>
        <w:tblStyle w:val="Tabelraster"/>
        <w:tblW w:w="10343" w:type="dxa"/>
        <w:tblLook w:val="04A0" w:firstRow="1" w:lastRow="0" w:firstColumn="1" w:lastColumn="0" w:noHBand="0" w:noVBand="1"/>
      </w:tblPr>
      <w:tblGrid>
        <w:gridCol w:w="1306"/>
        <w:gridCol w:w="3156"/>
        <w:gridCol w:w="2996"/>
        <w:gridCol w:w="2885"/>
      </w:tblGrid>
      <w:tr w:rsidR="00D074D0" w14:paraId="3E00448B" w14:textId="77777777" w:rsidTr="008F2B3C">
        <w:tc>
          <w:tcPr>
            <w:tcW w:w="1413" w:type="dxa"/>
          </w:tcPr>
          <w:p w14:paraId="7B0F6EC6" w14:textId="77777777" w:rsidR="005402F1" w:rsidRDefault="005402F1" w:rsidP="008F2B3C">
            <w:pPr>
              <w:rPr>
                <w:rFonts w:ascii="Arial" w:hAnsi="Arial" w:cs="Arial"/>
                <w:b/>
                <w:bCs/>
                <w:sz w:val="20"/>
                <w:szCs w:val="20"/>
              </w:rPr>
            </w:pPr>
            <w:r>
              <w:rPr>
                <w:rFonts w:ascii="Arial" w:hAnsi="Arial" w:cs="Arial"/>
                <w:b/>
                <w:bCs/>
                <w:sz w:val="20"/>
                <w:szCs w:val="20"/>
              </w:rPr>
              <w:t>Artikel</w:t>
            </w:r>
          </w:p>
        </w:tc>
        <w:tc>
          <w:tcPr>
            <w:tcW w:w="3401" w:type="dxa"/>
          </w:tcPr>
          <w:p w14:paraId="1A198C1B" w14:textId="77777777" w:rsidR="005402F1" w:rsidRDefault="005402F1" w:rsidP="008F2B3C">
            <w:pPr>
              <w:rPr>
                <w:rFonts w:ascii="Arial" w:hAnsi="Arial" w:cs="Arial"/>
                <w:b/>
                <w:bCs/>
                <w:sz w:val="20"/>
                <w:szCs w:val="20"/>
              </w:rPr>
            </w:pPr>
            <w:r>
              <w:rPr>
                <w:rFonts w:ascii="Arial" w:hAnsi="Arial" w:cs="Arial"/>
                <w:b/>
                <w:bCs/>
                <w:sz w:val="20"/>
                <w:szCs w:val="20"/>
              </w:rPr>
              <w:t>Huidige tekst</w:t>
            </w:r>
          </w:p>
        </w:tc>
        <w:tc>
          <w:tcPr>
            <w:tcW w:w="2407" w:type="dxa"/>
          </w:tcPr>
          <w:p w14:paraId="6120AA1E" w14:textId="77777777" w:rsidR="005402F1" w:rsidRDefault="005402F1" w:rsidP="008F2B3C">
            <w:pPr>
              <w:rPr>
                <w:rFonts w:ascii="Arial" w:hAnsi="Arial" w:cs="Arial"/>
                <w:b/>
                <w:bCs/>
                <w:sz w:val="20"/>
                <w:szCs w:val="20"/>
              </w:rPr>
            </w:pPr>
            <w:r>
              <w:rPr>
                <w:rFonts w:ascii="Arial" w:hAnsi="Arial" w:cs="Arial"/>
                <w:b/>
                <w:bCs/>
                <w:sz w:val="20"/>
                <w:szCs w:val="20"/>
              </w:rPr>
              <w:t>Verbeterpunten</w:t>
            </w:r>
          </w:p>
        </w:tc>
        <w:tc>
          <w:tcPr>
            <w:tcW w:w="3122" w:type="dxa"/>
          </w:tcPr>
          <w:p w14:paraId="3D2B3796" w14:textId="77777777" w:rsidR="005402F1" w:rsidRDefault="005402F1" w:rsidP="008F2B3C">
            <w:pPr>
              <w:rPr>
                <w:rFonts w:ascii="Arial" w:hAnsi="Arial" w:cs="Arial"/>
                <w:b/>
                <w:bCs/>
                <w:sz w:val="20"/>
                <w:szCs w:val="20"/>
              </w:rPr>
            </w:pPr>
            <w:r>
              <w:rPr>
                <w:rFonts w:ascii="Arial" w:hAnsi="Arial" w:cs="Arial"/>
                <w:b/>
                <w:bCs/>
                <w:sz w:val="20"/>
                <w:szCs w:val="20"/>
              </w:rPr>
              <w:t>Verwijzing VN verdrag</w:t>
            </w:r>
          </w:p>
        </w:tc>
      </w:tr>
      <w:tr w:rsidR="005402F1" w14:paraId="4D2384B8" w14:textId="77777777" w:rsidTr="008F2B3C">
        <w:tc>
          <w:tcPr>
            <w:tcW w:w="1413" w:type="dxa"/>
          </w:tcPr>
          <w:p w14:paraId="4528302B" w14:textId="30B4FDBA" w:rsidR="005402F1" w:rsidRPr="004D3FCB" w:rsidRDefault="005402F1" w:rsidP="008F2B3C">
            <w:pPr>
              <w:rPr>
                <w:rFonts w:ascii="Arial" w:hAnsi="Arial" w:cs="Arial"/>
                <w:sz w:val="20"/>
                <w:szCs w:val="20"/>
              </w:rPr>
            </w:pPr>
            <w:r w:rsidRPr="004D3FCB">
              <w:rPr>
                <w:rFonts w:ascii="Arial" w:hAnsi="Arial" w:cs="Arial"/>
                <w:sz w:val="20"/>
                <w:szCs w:val="20"/>
              </w:rPr>
              <w:t>Artikel 8</w:t>
            </w:r>
            <w:r w:rsidR="00D1508E" w:rsidRPr="004D3FCB">
              <w:rPr>
                <w:rFonts w:ascii="Arial" w:hAnsi="Arial" w:cs="Arial"/>
                <w:sz w:val="20"/>
                <w:szCs w:val="20"/>
              </w:rPr>
              <w:t>.1.</w:t>
            </w:r>
          </w:p>
        </w:tc>
        <w:tc>
          <w:tcPr>
            <w:tcW w:w="3401" w:type="dxa"/>
          </w:tcPr>
          <w:p w14:paraId="31CCC14E" w14:textId="11CAB009" w:rsidR="005402F1" w:rsidRPr="004D3FCB" w:rsidRDefault="00317953" w:rsidP="008F2B3C">
            <w:pPr>
              <w:rPr>
                <w:rFonts w:ascii="Arial" w:hAnsi="Arial" w:cs="Arial"/>
                <w:sz w:val="20"/>
                <w:szCs w:val="20"/>
              </w:rPr>
            </w:pPr>
            <w:r w:rsidRPr="004D3FCB">
              <w:rPr>
                <w:rFonts w:ascii="Arial" w:hAnsi="Arial" w:cs="Arial"/>
                <w:sz w:val="20"/>
                <w:szCs w:val="20"/>
              </w:rPr>
              <w:t xml:space="preserve">1. </w:t>
            </w:r>
            <w:r w:rsidR="00B250B3" w:rsidRPr="004D3FCB">
              <w:rPr>
                <w:rFonts w:ascii="Arial" w:hAnsi="Arial" w:cs="Arial"/>
                <w:sz w:val="20"/>
                <w:szCs w:val="20"/>
              </w:rPr>
              <w:t xml:space="preserve">Woonvoorzieningen: gericht op normaal gebruik </w:t>
            </w:r>
            <w:r w:rsidR="00E82768" w:rsidRPr="004D3FCB">
              <w:rPr>
                <w:rFonts w:ascii="Arial" w:hAnsi="Arial" w:cs="Arial"/>
                <w:sz w:val="20"/>
                <w:szCs w:val="20"/>
              </w:rPr>
              <w:t>van woonkamer, slaapvertrekken en sanitaire ruimten</w:t>
            </w:r>
          </w:p>
        </w:tc>
        <w:tc>
          <w:tcPr>
            <w:tcW w:w="2407" w:type="dxa"/>
          </w:tcPr>
          <w:p w14:paraId="1720A574" w14:textId="610D724E" w:rsidR="005402F1" w:rsidRPr="004D3FCB" w:rsidRDefault="00E82768" w:rsidP="008F2B3C">
            <w:pPr>
              <w:rPr>
                <w:rFonts w:ascii="Arial" w:hAnsi="Arial" w:cs="Arial"/>
                <w:sz w:val="20"/>
                <w:szCs w:val="20"/>
              </w:rPr>
            </w:pPr>
            <w:r w:rsidRPr="004D3FCB">
              <w:rPr>
                <w:rFonts w:ascii="Arial" w:hAnsi="Arial" w:cs="Arial"/>
                <w:sz w:val="20"/>
                <w:szCs w:val="20"/>
              </w:rPr>
              <w:t>Voeg specificaties</w:t>
            </w:r>
            <w:r w:rsidR="00550E46" w:rsidRPr="004D3FCB">
              <w:rPr>
                <w:rFonts w:ascii="Arial" w:hAnsi="Arial" w:cs="Arial"/>
                <w:sz w:val="20"/>
                <w:szCs w:val="20"/>
              </w:rPr>
              <w:t xml:space="preserve"> toe voor toegankelijkheidsaanpassingen</w:t>
            </w:r>
            <w:r w:rsidR="003D1E0E" w:rsidRPr="004D3FCB">
              <w:rPr>
                <w:rFonts w:ascii="Arial" w:hAnsi="Arial" w:cs="Arial"/>
                <w:sz w:val="20"/>
                <w:szCs w:val="20"/>
              </w:rPr>
              <w:t xml:space="preserve"> (zoals </w:t>
            </w:r>
            <w:proofErr w:type="spellStart"/>
            <w:r w:rsidR="003D1E0E" w:rsidRPr="004D3FCB">
              <w:rPr>
                <w:rFonts w:ascii="Arial" w:hAnsi="Arial" w:cs="Arial"/>
                <w:sz w:val="20"/>
                <w:szCs w:val="20"/>
              </w:rPr>
              <w:t>hellingsbanen</w:t>
            </w:r>
            <w:proofErr w:type="spellEnd"/>
            <w:r w:rsidR="003D1E0E" w:rsidRPr="004D3FCB">
              <w:rPr>
                <w:rFonts w:ascii="Arial" w:hAnsi="Arial" w:cs="Arial"/>
                <w:sz w:val="20"/>
                <w:szCs w:val="20"/>
              </w:rPr>
              <w:t xml:space="preserve"> en liftinstallaties) en garandeer </w:t>
            </w:r>
            <w:r w:rsidR="00D074D0" w:rsidRPr="004D3FCB">
              <w:rPr>
                <w:rFonts w:ascii="Arial" w:hAnsi="Arial" w:cs="Arial"/>
                <w:sz w:val="20"/>
                <w:szCs w:val="20"/>
              </w:rPr>
              <w:t>flexibele oplossingen voor unieke situaties</w:t>
            </w:r>
          </w:p>
        </w:tc>
        <w:tc>
          <w:tcPr>
            <w:tcW w:w="3122" w:type="dxa"/>
          </w:tcPr>
          <w:p w14:paraId="5A781DFE" w14:textId="0245E76E" w:rsidR="005402F1" w:rsidRPr="004D3FCB" w:rsidRDefault="00D074D0" w:rsidP="008F2B3C">
            <w:pPr>
              <w:rPr>
                <w:rFonts w:ascii="Arial" w:hAnsi="Arial" w:cs="Arial"/>
                <w:sz w:val="20"/>
                <w:szCs w:val="20"/>
              </w:rPr>
            </w:pPr>
            <w:r w:rsidRPr="004D3FCB">
              <w:rPr>
                <w:rFonts w:ascii="Arial" w:hAnsi="Arial" w:cs="Arial"/>
                <w:sz w:val="20"/>
                <w:szCs w:val="20"/>
              </w:rPr>
              <w:t>Artikel 9 (toegankelijkheid)</w:t>
            </w:r>
          </w:p>
        </w:tc>
      </w:tr>
      <w:tr w:rsidR="004A0D4E" w14:paraId="082EE40E" w14:textId="77777777" w:rsidTr="008F2B3C">
        <w:tc>
          <w:tcPr>
            <w:tcW w:w="1413" w:type="dxa"/>
          </w:tcPr>
          <w:p w14:paraId="3011CDE2" w14:textId="198B8017" w:rsidR="004A0D4E" w:rsidRPr="004D3FCB" w:rsidRDefault="004A0D4E" w:rsidP="008F2B3C">
            <w:pPr>
              <w:rPr>
                <w:rFonts w:ascii="Arial" w:hAnsi="Arial" w:cs="Arial"/>
                <w:sz w:val="20"/>
                <w:szCs w:val="20"/>
              </w:rPr>
            </w:pPr>
            <w:r>
              <w:rPr>
                <w:rFonts w:ascii="Arial" w:hAnsi="Arial" w:cs="Arial"/>
                <w:sz w:val="20"/>
                <w:szCs w:val="20"/>
              </w:rPr>
              <w:t>Artikel 4.1.</w:t>
            </w:r>
          </w:p>
        </w:tc>
        <w:tc>
          <w:tcPr>
            <w:tcW w:w="3401" w:type="dxa"/>
          </w:tcPr>
          <w:p w14:paraId="36142F5E" w14:textId="370702E5" w:rsidR="004A0D4E" w:rsidRPr="004D3FCB" w:rsidRDefault="004A0D4E" w:rsidP="008F2B3C">
            <w:pPr>
              <w:rPr>
                <w:rFonts w:ascii="Arial" w:hAnsi="Arial" w:cs="Arial"/>
                <w:sz w:val="20"/>
                <w:szCs w:val="20"/>
              </w:rPr>
            </w:pPr>
            <w:r>
              <w:rPr>
                <w:rFonts w:ascii="Arial" w:hAnsi="Arial" w:cs="Arial"/>
                <w:sz w:val="20"/>
                <w:szCs w:val="20"/>
              </w:rPr>
              <w:t>1.</w:t>
            </w:r>
            <w:r w:rsidR="00937A10">
              <w:rPr>
                <w:rFonts w:ascii="Arial" w:hAnsi="Arial" w:cs="Arial"/>
                <w:sz w:val="20"/>
                <w:szCs w:val="20"/>
              </w:rPr>
              <w:t>Een algemene voorziening is ingericht voor alle in</w:t>
            </w:r>
            <w:r w:rsidR="008C5D39">
              <w:rPr>
                <w:rFonts w:ascii="Arial" w:hAnsi="Arial" w:cs="Arial"/>
                <w:sz w:val="20"/>
                <w:szCs w:val="20"/>
              </w:rPr>
              <w:t>gezetenen van Hof van Twente of voor een specifieke doelgroep</w:t>
            </w:r>
            <w:r w:rsidR="00F46FF0">
              <w:rPr>
                <w:rFonts w:ascii="Arial" w:hAnsi="Arial" w:cs="Arial"/>
                <w:sz w:val="20"/>
                <w:szCs w:val="20"/>
              </w:rPr>
              <w:t xml:space="preserve"> en is rechtstreeks toegankelijk zonder of op basis </w:t>
            </w:r>
            <w:r w:rsidR="00812E0B">
              <w:rPr>
                <w:rFonts w:ascii="Arial" w:hAnsi="Arial" w:cs="Arial"/>
                <w:sz w:val="20"/>
                <w:szCs w:val="20"/>
              </w:rPr>
              <w:t>van een beperkte toegangsbeoordeling</w:t>
            </w:r>
          </w:p>
        </w:tc>
        <w:tc>
          <w:tcPr>
            <w:tcW w:w="2407" w:type="dxa"/>
          </w:tcPr>
          <w:p w14:paraId="3F6A01F0" w14:textId="4023062A" w:rsidR="004A0D4E" w:rsidRPr="004D3FCB" w:rsidRDefault="0061381B" w:rsidP="008F2B3C">
            <w:pPr>
              <w:rPr>
                <w:rFonts w:ascii="Arial" w:hAnsi="Arial" w:cs="Arial"/>
                <w:sz w:val="20"/>
                <w:szCs w:val="20"/>
              </w:rPr>
            </w:pPr>
            <w:r>
              <w:rPr>
                <w:rFonts w:ascii="Arial" w:hAnsi="Arial" w:cs="Arial"/>
                <w:sz w:val="20"/>
                <w:szCs w:val="20"/>
              </w:rPr>
              <w:t>Door de toevoeging redelijke aanpassingen garandeer je</w:t>
            </w:r>
            <w:r w:rsidR="00FB0D07">
              <w:rPr>
                <w:sz w:val="20"/>
              </w:rPr>
              <w:t xml:space="preserve"> </w:t>
            </w:r>
            <w:r w:rsidRPr="00D04B88">
              <w:t>dat algemene voorzieningen niet beperkend zijn voor mensen met een beperking en dat zij toegang hebben, ongeacht hun fysieke of communicatieve beperkingen.</w:t>
            </w:r>
          </w:p>
        </w:tc>
        <w:tc>
          <w:tcPr>
            <w:tcW w:w="3122" w:type="dxa"/>
          </w:tcPr>
          <w:p w14:paraId="4735E08D" w14:textId="5820105E" w:rsidR="004A0D4E" w:rsidRDefault="00FB0D07" w:rsidP="008F2B3C">
            <w:pPr>
              <w:rPr>
                <w:rFonts w:ascii="Arial" w:hAnsi="Arial" w:cs="Arial"/>
                <w:sz w:val="20"/>
                <w:szCs w:val="20"/>
              </w:rPr>
            </w:pPr>
            <w:r>
              <w:rPr>
                <w:rFonts w:ascii="Arial" w:hAnsi="Arial" w:cs="Arial"/>
                <w:sz w:val="20"/>
                <w:szCs w:val="20"/>
              </w:rPr>
              <w:t xml:space="preserve">Artikel 4 </w:t>
            </w:r>
            <w:r w:rsidR="000F4DDE">
              <w:rPr>
                <w:rFonts w:ascii="Arial" w:hAnsi="Arial" w:cs="Arial"/>
                <w:sz w:val="20"/>
                <w:szCs w:val="20"/>
              </w:rPr>
              <w:t>(onderzoek en inn</w:t>
            </w:r>
            <w:r w:rsidR="00E85692">
              <w:rPr>
                <w:rFonts w:ascii="Arial" w:hAnsi="Arial" w:cs="Arial"/>
                <w:sz w:val="20"/>
                <w:szCs w:val="20"/>
              </w:rPr>
              <w:t>ovatie)</w:t>
            </w:r>
          </w:p>
          <w:p w14:paraId="60D93764" w14:textId="1DAE6369" w:rsidR="00FB0D07" w:rsidRPr="004D3FCB" w:rsidRDefault="00FB0D07" w:rsidP="008F2B3C">
            <w:pPr>
              <w:rPr>
                <w:rFonts w:ascii="Arial" w:hAnsi="Arial" w:cs="Arial"/>
                <w:sz w:val="20"/>
                <w:szCs w:val="20"/>
              </w:rPr>
            </w:pPr>
            <w:r>
              <w:rPr>
                <w:rFonts w:ascii="Arial" w:hAnsi="Arial" w:cs="Arial"/>
                <w:sz w:val="20"/>
                <w:szCs w:val="20"/>
              </w:rPr>
              <w:t>Artikel 9 (Toegankelijkheid)</w:t>
            </w:r>
          </w:p>
        </w:tc>
      </w:tr>
    </w:tbl>
    <w:p w14:paraId="5754F645" w14:textId="77777777" w:rsidR="005402F1" w:rsidRDefault="005402F1" w:rsidP="00C27C35">
      <w:pPr>
        <w:rPr>
          <w:rFonts w:ascii="Arial" w:hAnsi="Arial" w:cs="Arial"/>
          <w:sz w:val="20"/>
          <w:szCs w:val="20"/>
        </w:rPr>
      </w:pPr>
    </w:p>
    <w:p w14:paraId="3CD67066" w14:textId="4A15AAEA" w:rsidR="005402F1" w:rsidRPr="009370D1" w:rsidRDefault="00080A92" w:rsidP="00C27C35">
      <w:pPr>
        <w:rPr>
          <w:rFonts w:ascii="Arial" w:hAnsi="Arial" w:cs="Arial"/>
          <w:b/>
          <w:bCs/>
          <w:sz w:val="20"/>
          <w:szCs w:val="20"/>
          <w:u w:val="single"/>
        </w:rPr>
      </w:pPr>
      <w:r w:rsidRPr="009370D1">
        <w:rPr>
          <w:rFonts w:ascii="Arial" w:hAnsi="Arial" w:cs="Arial"/>
          <w:b/>
          <w:bCs/>
          <w:sz w:val="20"/>
          <w:szCs w:val="20"/>
          <w:u w:val="single"/>
        </w:rPr>
        <w:t>Bewust</w:t>
      </w:r>
      <w:r w:rsidR="00380EF3">
        <w:rPr>
          <w:rFonts w:ascii="Arial" w:hAnsi="Arial" w:cs="Arial"/>
          <w:b/>
          <w:bCs/>
          <w:sz w:val="20"/>
          <w:szCs w:val="20"/>
          <w:u w:val="single"/>
        </w:rPr>
        <w:t>wording</w:t>
      </w:r>
    </w:p>
    <w:p w14:paraId="136FFA8C" w14:textId="77777777" w:rsidR="00080A92" w:rsidRDefault="00080A92" w:rsidP="00C27C35">
      <w:pPr>
        <w:rPr>
          <w:rFonts w:ascii="Arial" w:hAnsi="Arial" w:cs="Arial"/>
          <w:sz w:val="20"/>
          <w:szCs w:val="20"/>
        </w:rPr>
      </w:pPr>
    </w:p>
    <w:tbl>
      <w:tblPr>
        <w:tblStyle w:val="Tabelraster"/>
        <w:tblW w:w="10343" w:type="dxa"/>
        <w:tblLook w:val="04A0" w:firstRow="1" w:lastRow="0" w:firstColumn="1" w:lastColumn="0" w:noHBand="0" w:noVBand="1"/>
      </w:tblPr>
      <w:tblGrid>
        <w:gridCol w:w="1413"/>
        <w:gridCol w:w="3401"/>
        <w:gridCol w:w="2407"/>
        <w:gridCol w:w="3122"/>
      </w:tblGrid>
      <w:tr w:rsidR="009370D1" w14:paraId="4271D64C" w14:textId="77777777" w:rsidTr="008F2B3C">
        <w:tc>
          <w:tcPr>
            <w:tcW w:w="1413" w:type="dxa"/>
          </w:tcPr>
          <w:p w14:paraId="457F2226" w14:textId="77777777" w:rsidR="009370D1" w:rsidRDefault="009370D1" w:rsidP="008F2B3C">
            <w:pPr>
              <w:rPr>
                <w:rFonts w:ascii="Arial" w:hAnsi="Arial" w:cs="Arial"/>
                <w:b/>
                <w:bCs/>
                <w:sz w:val="20"/>
                <w:szCs w:val="20"/>
              </w:rPr>
            </w:pPr>
            <w:r>
              <w:rPr>
                <w:rFonts w:ascii="Arial" w:hAnsi="Arial" w:cs="Arial"/>
                <w:b/>
                <w:bCs/>
                <w:sz w:val="20"/>
                <w:szCs w:val="20"/>
              </w:rPr>
              <w:t>Artikel</w:t>
            </w:r>
          </w:p>
        </w:tc>
        <w:tc>
          <w:tcPr>
            <w:tcW w:w="3401" w:type="dxa"/>
          </w:tcPr>
          <w:p w14:paraId="394DF3CE" w14:textId="77777777" w:rsidR="009370D1" w:rsidRDefault="009370D1" w:rsidP="008F2B3C">
            <w:pPr>
              <w:rPr>
                <w:rFonts w:ascii="Arial" w:hAnsi="Arial" w:cs="Arial"/>
                <w:b/>
                <w:bCs/>
                <w:sz w:val="20"/>
                <w:szCs w:val="20"/>
              </w:rPr>
            </w:pPr>
            <w:r>
              <w:rPr>
                <w:rFonts w:ascii="Arial" w:hAnsi="Arial" w:cs="Arial"/>
                <w:b/>
                <w:bCs/>
                <w:sz w:val="20"/>
                <w:szCs w:val="20"/>
              </w:rPr>
              <w:t>Huidige tekst</w:t>
            </w:r>
          </w:p>
        </w:tc>
        <w:tc>
          <w:tcPr>
            <w:tcW w:w="2407" w:type="dxa"/>
          </w:tcPr>
          <w:p w14:paraId="7E8F042B" w14:textId="77777777" w:rsidR="009370D1" w:rsidRDefault="009370D1" w:rsidP="008F2B3C">
            <w:pPr>
              <w:rPr>
                <w:rFonts w:ascii="Arial" w:hAnsi="Arial" w:cs="Arial"/>
                <w:b/>
                <w:bCs/>
                <w:sz w:val="20"/>
                <w:szCs w:val="20"/>
              </w:rPr>
            </w:pPr>
            <w:r>
              <w:rPr>
                <w:rFonts w:ascii="Arial" w:hAnsi="Arial" w:cs="Arial"/>
                <w:b/>
                <w:bCs/>
                <w:sz w:val="20"/>
                <w:szCs w:val="20"/>
              </w:rPr>
              <w:t>Verbeterpunten</w:t>
            </w:r>
          </w:p>
        </w:tc>
        <w:tc>
          <w:tcPr>
            <w:tcW w:w="3122" w:type="dxa"/>
          </w:tcPr>
          <w:p w14:paraId="4F9FD9C2" w14:textId="77777777" w:rsidR="009370D1" w:rsidRDefault="009370D1" w:rsidP="008F2B3C">
            <w:pPr>
              <w:rPr>
                <w:rFonts w:ascii="Arial" w:hAnsi="Arial" w:cs="Arial"/>
                <w:b/>
                <w:bCs/>
                <w:sz w:val="20"/>
                <w:szCs w:val="20"/>
              </w:rPr>
            </w:pPr>
            <w:r>
              <w:rPr>
                <w:rFonts w:ascii="Arial" w:hAnsi="Arial" w:cs="Arial"/>
                <w:b/>
                <w:bCs/>
                <w:sz w:val="20"/>
                <w:szCs w:val="20"/>
              </w:rPr>
              <w:t>Verwijzing VN verdrag</w:t>
            </w:r>
          </w:p>
        </w:tc>
      </w:tr>
      <w:tr w:rsidR="002E2586" w14:paraId="37147658" w14:textId="77777777" w:rsidTr="008F2B3C">
        <w:tc>
          <w:tcPr>
            <w:tcW w:w="1413" w:type="dxa"/>
          </w:tcPr>
          <w:p w14:paraId="108A96CD" w14:textId="3B3EFEA2" w:rsidR="002E2586" w:rsidRPr="006C63B0" w:rsidRDefault="002E2586" w:rsidP="002E2586">
            <w:pPr>
              <w:rPr>
                <w:rFonts w:ascii="Arial" w:hAnsi="Arial" w:cs="Arial"/>
                <w:sz w:val="20"/>
                <w:szCs w:val="20"/>
              </w:rPr>
            </w:pPr>
            <w:r w:rsidRPr="006C63B0">
              <w:rPr>
                <w:rFonts w:ascii="Arial" w:hAnsi="Arial" w:cs="Arial"/>
                <w:sz w:val="20"/>
                <w:szCs w:val="20"/>
              </w:rPr>
              <w:t>Artikel 14.1</w:t>
            </w:r>
          </w:p>
        </w:tc>
        <w:tc>
          <w:tcPr>
            <w:tcW w:w="3401" w:type="dxa"/>
          </w:tcPr>
          <w:p w14:paraId="2FC7E468" w14:textId="10629A77" w:rsidR="002E2586" w:rsidRPr="006C63B0" w:rsidRDefault="002E2586" w:rsidP="002E2586">
            <w:pPr>
              <w:rPr>
                <w:rFonts w:ascii="Arial" w:hAnsi="Arial" w:cs="Arial"/>
                <w:sz w:val="20"/>
                <w:szCs w:val="20"/>
              </w:rPr>
            </w:pPr>
            <w:r w:rsidRPr="006C63B0">
              <w:rPr>
                <w:rFonts w:ascii="Arial" w:hAnsi="Arial" w:cs="Arial"/>
                <w:sz w:val="20"/>
                <w:szCs w:val="20"/>
              </w:rPr>
              <w:t>1.c. Aanbieders moeten voorzieningen afstemmen op persoonlijke situaties van client.</w:t>
            </w:r>
          </w:p>
        </w:tc>
        <w:tc>
          <w:tcPr>
            <w:tcW w:w="2407" w:type="dxa"/>
          </w:tcPr>
          <w:p w14:paraId="22922A85" w14:textId="79FFA35D" w:rsidR="002E2586" w:rsidRPr="0020637A" w:rsidRDefault="002E2586" w:rsidP="002E2586">
            <w:pPr>
              <w:rPr>
                <w:rFonts w:ascii="Arial" w:hAnsi="Arial" w:cs="Arial"/>
                <w:sz w:val="20"/>
                <w:szCs w:val="20"/>
              </w:rPr>
            </w:pPr>
            <w:r w:rsidRPr="0020637A">
              <w:rPr>
                <w:rFonts w:ascii="Arial" w:hAnsi="Arial" w:cs="Arial"/>
                <w:sz w:val="20"/>
                <w:szCs w:val="20"/>
              </w:rPr>
              <w:t>Introduceer verplichte opleidingen voor professionals in het omgaan met specifieke beperkingen en diversiteit</w:t>
            </w:r>
          </w:p>
        </w:tc>
        <w:tc>
          <w:tcPr>
            <w:tcW w:w="3122" w:type="dxa"/>
          </w:tcPr>
          <w:p w14:paraId="5C7607C2" w14:textId="5F493E37" w:rsidR="002E2586" w:rsidRPr="0020637A" w:rsidRDefault="002E2586" w:rsidP="002E2586">
            <w:pPr>
              <w:rPr>
                <w:rFonts w:ascii="Arial" w:hAnsi="Arial" w:cs="Arial"/>
                <w:sz w:val="20"/>
                <w:szCs w:val="20"/>
              </w:rPr>
            </w:pPr>
            <w:r w:rsidRPr="0020637A">
              <w:rPr>
                <w:rFonts w:ascii="Arial" w:hAnsi="Arial" w:cs="Arial"/>
                <w:sz w:val="20"/>
                <w:szCs w:val="20"/>
              </w:rPr>
              <w:t>Artikel 26 (</w:t>
            </w:r>
            <w:proofErr w:type="spellStart"/>
            <w:r w:rsidRPr="0020637A">
              <w:rPr>
                <w:rFonts w:ascii="Arial" w:hAnsi="Arial" w:cs="Arial"/>
                <w:sz w:val="20"/>
                <w:szCs w:val="20"/>
              </w:rPr>
              <w:t>Habitatie</w:t>
            </w:r>
            <w:proofErr w:type="spellEnd"/>
            <w:r w:rsidRPr="0020637A">
              <w:rPr>
                <w:rFonts w:ascii="Arial" w:hAnsi="Arial" w:cs="Arial"/>
                <w:sz w:val="20"/>
                <w:szCs w:val="20"/>
              </w:rPr>
              <w:t xml:space="preserve"> en revalidatie)</w:t>
            </w:r>
          </w:p>
        </w:tc>
      </w:tr>
    </w:tbl>
    <w:p w14:paraId="6DB511BC" w14:textId="77777777" w:rsidR="00080A92" w:rsidRPr="00BE18FB" w:rsidRDefault="00080A92" w:rsidP="00C27C35">
      <w:pPr>
        <w:rPr>
          <w:rFonts w:ascii="Arial" w:hAnsi="Arial" w:cs="Arial"/>
          <w:sz w:val="20"/>
          <w:szCs w:val="20"/>
        </w:rPr>
      </w:pPr>
    </w:p>
    <w:p w14:paraId="3BEC0AF6" w14:textId="77777777" w:rsidR="005E660D" w:rsidRDefault="005E660D" w:rsidP="005E660D">
      <w:pPr>
        <w:rPr>
          <w:rFonts w:ascii="Arial" w:hAnsi="Arial" w:cs="Arial"/>
          <w:b/>
          <w:bCs/>
          <w:sz w:val="20"/>
          <w:szCs w:val="20"/>
        </w:rPr>
      </w:pPr>
    </w:p>
    <w:p w14:paraId="66CC5135" w14:textId="37293A53" w:rsidR="00374D79" w:rsidRPr="005B71C5" w:rsidRDefault="001A7048">
      <w:pPr>
        <w:spacing w:after="160" w:line="259" w:lineRule="auto"/>
        <w:rPr>
          <w:rFonts w:ascii="Arial" w:hAnsi="Arial" w:cs="Arial"/>
          <w:b/>
          <w:bCs/>
          <w:sz w:val="24"/>
          <w:szCs w:val="24"/>
        </w:rPr>
      </w:pPr>
      <w:r w:rsidRPr="005B71C5">
        <w:rPr>
          <w:rFonts w:ascii="Arial" w:hAnsi="Arial" w:cs="Arial"/>
          <w:b/>
          <w:bCs/>
          <w:sz w:val="24"/>
          <w:szCs w:val="24"/>
        </w:rPr>
        <w:t xml:space="preserve">C. </w:t>
      </w:r>
      <w:r w:rsidR="006244A4" w:rsidRPr="005B71C5">
        <w:rPr>
          <w:rFonts w:ascii="Arial" w:hAnsi="Arial" w:cs="Arial"/>
          <w:b/>
          <w:bCs/>
          <w:sz w:val="24"/>
          <w:szCs w:val="24"/>
        </w:rPr>
        <w:t xml:space="preserve">Handreiking </w:t>
      </w:r>
      <w:r w:rsidRPr="005B71C5">
        <w:rPr>
          <w:rFonts w:ascii="Arial" w:hAnsi="Arial" w:cs="Arial"/>
          <w:b/>
          <w:bCs/>
          <w:sz w:val="24"/>
          <w:szCs w:val="24"/>
        </w:rPr>
        <w:t>VN verdrag Handicap</w:t>
      </w:r>
      <w:r w:rsidR="006244A4" w:rsidRPr="005B71C5">
        <w:rPr>
          <w:rFonts w:ascii="Arial" w:hAnsi="Arial" w:cs="Arial"/>
          <w:b/>
          <w:bCs/>
          <w:sz w:val="24"/>
          <w:szCs w:val="24"/>
        </w:rPr>
        <w:t xml:space="preserve"> provincies en gemeentes</w:t>
      </w:r>
    </w:p>
    <w:p w14:paraId="7DE8D538" w14:textId="1A4766F9" w:rsidR="002F690F" w:rsidRDefault="00E937C3">
      <w:pPr>
        <w:spacing w:after="160" w:line="259" w:lineRule="auto"/>
        <w:rPr>
          <w:rFonts w:ascii="Arial" w:hAnsi="Arial" w:cs="Arial"/>
          <w:b/>
          <w:bCs/>
          <w:sz w:val="28"/>
          <w:szCs w:val="28"/>
        </w:rPr>
      </w:pPr>
      <w:hyperlink r:id="rId11" w:history="1">
        <w:r w:rsidRPr="00BB440A">
          <w:rPr>
            <w:rStyle w:val="Hyperlink"/>
          </w:rPr>
          <w:t>file:///C:/Users/mariannehutten/Downloads/22_412%20CvdRvdM%20Handreiking%20Provincies,%20gemeenten%20en%20het%20VN-verdrag%20handicap_DigiT.pdf</w:t>
        </w:r>
      </w:hyperlink>
      <w:r>
        <w:t xml:space="preserve"> </w:t>
      </w:r>
    </w:p>
    <w:p w14:paraId="3D5E5EB8" w14:textId="77777777" w:rsidR="001A7048" w:rsidRPr="00D3730F" w:rsidRDefault="001A7048">
      <w:pPr>
        <w:spacing w:after="160" w:line="259" w:lineRule="auto"/>
        <w:rPr>
          <w:rFonts w:ascii="Arial" w:hAnsi="Arial" w:cs="Arial"/>
          <w:b/>
          <w:bCs/>
          <w:sz w:val="20"/>
          <w:szCs w:val="20"/>
        </w:rPr>
      </w:pPr>
    </w:p>
    <w:sectPr w:rsidR="001A7048" w:rsidRPr="00D3730F" w:rsidSect="0053050E">
      <w:headerReference w:type="even" r:id="rId12"/>
      <w:footerReference w:type="default" r:id="rId13"/>
      <w:headerReference w:type="first" r:id="rId14"/>
      <w:footerReference w:type="first" r:id="rId15"/>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3652F" w14:textId="77777777" w:rsidR="005443D7" w:rsidRDefault="005443D7" w:rsidP="00B63CD2">
      <w:pPr>
        <w:spacing w:line="240" w:lineRule="auto"/>
      </w:pPr>
      <w:r>
        <w:separator/>
      </w:r>
    </w:p>
    <w:p w14:paraId="36ED7C4A" w14:textId="77777777" w:rsidR="005443D7" w:rsidRDefault="005443D7"/>
  </w:endnote>
  <w:endnote w:type="continuationSeparator" w:id="0">
    <w:p w14:paraId="77918CFE" w14:textId="77777777" w:rsidR="005443D7" w:rsidRDefault="005443D7" w:rsidP="00B63CD2">
      <w:pPr>
        <w:spacing w:line="240" w:lineRule="auto"/>
      </w:pPr>
      <w:r>
        <w:continuationSeparator/>
      </w:r>
    </w:p>
    <w:p w14:paraId="25DAD3D4" w14:textId="77777777" w:rsidR="005443D7" w:rsidRDefault="00544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DFF7F" w14:textId="77777777" w:rsidR="002841EE" w:rsidRPr="00784D00" w:rsidRDefault="002841EE" w:rsidP="00784D00">
    <w:pPr>
      <w:pStyle w:val="Voettekst"/>
      <w:tabs>
        <w:tab w:val="clear" w:pos="4536"/>
        <w:tab w:val="clear" w:pos="9072"/>
        <w:tab w:val="right" w:pos="9639"/>
      </w:tabs>
      <w:rPr>
        <w:sz w:val="18"/>
        <w:szCs w:val="18"/>
        <w:lang w:val="en-US"/>
      </w:rPr>
    </w:pPr>
    <w:r>
      <w:rPr>
        <w:lang w:val="en-US"/>
      </w:rPr>
      <w:tab/>
    </w:r>
    <w:r w:rsidRPr="00784D00">
      <w:rPr>
        <w:sz w:val="18"/>
        <w:szCs w:val="18"/>
        <w:lang w:val="en-US"/>
      </w:rPr>
      <w:fldChar w:fldCharType="begin"/>
    </w:r>
    <w:r w:rsidRPr="00784D00">
      <w:rPr>
        <w:sz w:val="18"/>
        <w:szCs w:val="18"/>
        <w:lang w:val="en-US"/>
      </w:rPr>
      <w:instrText>PAGE   \* MERGEFORMAT</w:instrText>
    </w:r>
    <w:r w:rsidRPr="00784D00">
      <w:rPr>
        <w:sz w:val="18"/>
        <w:szCs w:val="18"/>
        <w:lang w:val="en-US"/>
      </w:rPr>
      <w:fldChar w:fldCharType="separate"/>
    </w:r>
    <w:r w:rsidR="007620FB">
      <w:rPr>
        <w:noProof/>
        <w:sz w:val="18"/>
        <w:szCs w:val="18"/>
        <w:lang w:val="en-US"/>
      </w:rPr>
      <w:t>2</w:t>
    </w:r>
    <w:r w:rsidRPr="00784D00">
      <w:rPr>
        <w:sz w:val="18"/>
        <w:szCs w:val="18"/>
        <w:lang w:val="en-US"/>
      </w:rPr>
      <w:fldChar w:fldCharType="end"/>
    </w:r>
  </w:p>
  <w:p w14:paraId="119F8235" w14:textId="77777777" w:rsidR="00C45820" w:rsidRDefault="00C458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5FCEA" w14:textId="77777777" w:rsidR="00AC4EC0" w:rsidRPr="00C27C35" w:rsidRDefault="00C27C35" w:rsidP="00C27C35">
    <w:pPr>
      <w:pStyle w:val="Voettekst"/>
      <w:tabs>
        <w:tab w:val="clear" w:pos="9072"/>
        <w:tab w:val="right" w:pos="9639"/>
      </w:tabs>
      <w:rPr>
        <w:sz w:val="18"/>
        <w:szCs w:val="18"/>
        <w:lang w:val="en-US"/>
      </w:rPr>
    </w:pPr>
    <w:r>
      <w:rPr>
        <w:sz w:val="18"/>
        <w:szCs w:val="18"/>
        <w:lang w:val="en-US"/>
      </w:rPr>
      <w:tab/>
    </w:r>
    <w:r>
      <w:rPr>
        <w:sz w:val="18"/>
        <w:szCs w:val="18"/>
        <w:lang w:val="en-US"/>
      </w:rPr>
      <w:tab/>
    </w:r>
    <w:r w:rsidRPr="00C27C35">
      <w:rPr>
        <w:sz w:val="18"/>
        <w:szCs w:val="18"/>
        <w:lang w:val="en-US"/>
      </w:rPr>
      <w:fldChar w:fldCharType="begin"/>
    </w:r>
    <w:r w:rsidRPr="00C27C35">
      <w:rPr>
        <w:sz w:val="18"/>
        <w:szCs w:val="18"/>
        <w:lang w:val="en-US"/>
      </w:rPr>
      <w:instrText>PAGE   \* MERGEFORMAT</w:instrText>
    </w:r>
    <w:r w:rsidRPr="00C27C35">
      <w:rPr>
        <w:sz w:val="18"/>
        <w:szCs w:val="18"/>
        <w:lang w:val="en-US"/>
      </w:rPr>
      <w:fldChar w:fldCharType="separate"/>
    </w:r>
    <w:r w:rsidR="007620FB">
      <w:rPr>
        <w:noProof/>
        <w:sz w:val="18"/>
        <w:szCs w:val="18"/>
        <w:lang w:val="en-US"/>
      </w:rPr>
      <w:t>1</w:t>
    </w:r>
    <w:r w:rsidRPr="00C27C35">
      <w:rPr>
        <w:sz w:val="18"/>
        <w:szCs w:val="18"/>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4B7FA" w14:textId="77777777" w:rsidR="005443D7" w:rsidRDefault="005443D7" w:rsidP="00B63CD2">
      <w:pPr>
        <w:spacing w:line="240" w:lineRule="auto"/>
      </w:pPr>
      <w:r>
        <w:separator/>
      </w:r>
    </w:p>
    <w:p w14:paraId="0DD2CBE3" w14:textId="77777777" w:rsidR="005443D7" w:rsidRDefault="005443D7"/>
  </w:footnote>
  <w:footnote w:type="continuationSeparator" w:id="0">
    <w:p w14:paraId="5B9C773C" w14:textId="77777777" w:rsidR="005443D7" w:rsidRDefault="005443D7" w:rsidP="00B63CD2">
      <w:pPr>
        <w:spacing w:line="240" w:lineRule="auto"/>
      </w:pPr>
      <w:r>
        <w:continuationSeparator/>
      </w:r>
    </w:p>
    <w:p w14:paraId="1C972E83" w14:textId="77777777" w:rsidR="005443D7" w:rsidRDefault="005443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97EB" w14:textId="77777777" w:rsidR="00B63CD2" w:rsidRDefault="00104567">
    <w:pPr>
      <w:pStyle w:val="Koptekst"/>
    </w:pPr>
    <w:r>
      <w:rPr>
        <w:noProof/>
        <w:lang w:val="en-US" w:eastAsia="nl-NL"/>
      </w:rPr>
      <w:pict w14:anchorId="170D1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3" type="#_x0000_t75" style="position:absolute;margin-left:0;margin-top:0;width:595.3pt;height:841.9pt;z-index:-251658752;mso-wrap-edited:f;mso-position-horizontal:center;mso-position-horizontal-relative:margin;mso-position-vertical:center;mso-position-vertical-relative:margin" wrapcoords="408 326 353 634 380 1865 -27 2077 -27 2500 326 2788 326 2808 10800 3096 10800 3404 516 3596 489 3712 353 3827 435 4000 1224 4019 -27 4135 -27 4443 380 4616 652 4635 408 4827 353 4885 380 5000 1224 5231 1496 5270 1931 5558 54 5827 -27 5885 -27 6193 625 6462 652 6712 952 6770 2013 6789 1632 6885 1632 7001 1904 7097 1441 7212 1169 7328 1115 7462 1115 7712 652 7751 924 7982 10800 8020 380 8232 408 9655 544 9694 816 9694 1060 9694 2802 9674 2720 9251 2829 8963 2802 8463 2747 8328 10772 8001 2693 7712 2747 7635 2693 7578 2448 7405 2584 7385 3182 7155 3182 7097 3237 6982 3155 6866 2965 6731 2638 6674 1251 6462 1550 6174 1686 6116 1768 5981 1795 5847 2393 5597 3454 5539 3454 5308 1958 5250 1958 5173 761 4943 788 4635 1033 4616 1496 4423 1496 4327 1659 4019 1985 4000 1931 3769 924 3712 10800 3404 10772 3077 544 2769 761 2538 761 2288 652 2154 2203 1942 2203 1865 2366 1846 2802 1634 2802 1557 3101 1538 3590 1365 3590 1173 2584 942 2829 923 3101 769 3046 326 408 326">
          <v:imagedata r:id="rId1" o:title="FNO_briefpapier (gesleept) 1"/>
          <w10:wrap anchorx="margin" anchory="margin"/>
        </v:shape>
      </w:pict>
    </w:r>
  </w:p>
  <w:p w14:paraId="122AF5A7" w14:textId="77777777" w:rsidR="00C45820" w:rsidRDefault="00C458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93936" w14:textId="77777777" w:rsidR="00AC4EC0" w:rsidRPr="00AC4EC0" w:rsidRDefault="00AC4EC0">
    <w:pPr>
      <w:pStyle w:val="Koptekst"/>
      <w:rPr>
        <w:caps/>
        <w:sz w:val="18"/>
        <w:szCs w:val="18"/>
      </w:rPr>
    </w:pPr>
  </w:p>
  <w:p w14:paraId="26348CFC" w14:textId="77777777" w:rsidR="00AC4EC0" w:rsidRPr="00AC4EC0" w:rsidRDefault="00AC4EC0">
    <w:pPr>
      <w:pStyle w:val="Koptekst"/>
      <w:rPr>
        <w:cap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4725"/>
    <w:multiLevelType w:val="multilevel"/>
    <w:tmpl w:val="3D3440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BE87F6E"/>
    <w:multiLevelType w:val="hybridMultilevel"/>
    <w:tmpl w:val="5BCC398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EDB6987"/>
    <w:multiLevelType w:val="hybridMultilevel"/>
    <w:tmpl w:val="3D3440E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5CB56413"/>
    <w:multiLevelType w:val="multilevel"/>
    <w:tmpl w:val="3D3440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92635945">
    <w:abstractNumId w:val="2"/>
  </w:num>
  <w:num w:numId="2" w16cid:durableId="772213474">
    <w:abstractNumId w:val="3"/>
  </w:num>
  <w:num w:numId="3" w16cid:durableId="888999900">
    <w:abstractNumId w:val="0"/>
  </w:num>
  <w:num w:numId="4" w16cid:durableId="11430444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0A"/>
    <w:rsid w:val="0000004B"/>
    <w:rsid w:val="00002286"/>
    <w:rsid w:val="00004F37"/>
    <w:rsid w:val="00011CA2"/>
    <w:rsid w:val="00020AB9"/>
    <w:rsid w:val="000508D5"/>
    <w:rsid w:val="00061CC6"/>
    <w:rsid w:val="000625F8"/>
    <w:rsid w:val="0006289B"/>
    <w:rsid w:val="00067FD1"/>
    <w:rsid w:val="00080A92"/>
    <w:rsid w:val="00082502"/>
    <w:rsid w:val="000928BC"/>
    <w:rsid w:val="000A2CCB"/>
    <w:rsid w:val="000A7228"/>
    <w:rsid w:val="000B4C02"/>
    <w:rsid w:val="000D6476"/>
    <w:rsid w:val="000F4DDE"/>
    <w:rsid w:val="000F53B9"/>
    <w:rsid w:val="00104567"/>
    <w:rsid w:val="00110AC4"/>
    <w:rsid w:val="001174BC"/>
    <w:rsid w:val="00126420"/>
    <w:rsid w:val="001320F7"/>
    <w:rsid w:val="00132D6B"/>
    <w:rsid w:val="0016131A"/>
    <w:rsid w:val="00165FB1"/>
    <w:rsid w:val="0017473D"/>
    <w:rsid w:val="00177765"/>
    <w:rsid w:val="001A08D2"/>
    <w:rsid w:val="001A1B7E"/>
    <w:rsid w:val="001A7048"/>
    <w:rsid w:val="001B24FF"/>
    <w:rsid w:val="001C45BE"/>
    <w:rsid w:val="001C57D6"/>
    <w:rsid w:val="001D5524"/>
    <w:rsid w:val="001E1ECD"/>
    <w:rsid w:val="001F2DCE"/>
    <w:rsid w:val="00202A0F"/>
    <w:rsid w:val="00204598"/>
    <w:rsid w:val="0020637A"/>
    <w:rsid w:val="00227CF0"/>
    <w:rsid w:val="00261655"/>
    <w:rsid w:val="002626BD"/>
    <w:rsid w:val="002635D7"/>
    <w:rsid w:val="00274F81"/>
    <w:rsid w:val="002752CA"/>
    <w:rsid w:val="002841EE"/>
    <w:rsid w:val="002860DF"/>
    <w:rsid w:val="002A24ED"/>
    <w:rsid w:val="002A55BB"/>
    <w:rsid w:val="002B675A"/>
    <w:rsid w:val="002C2A81"/>
    <w:rsid w:val="002D1A2B"/>
    <w:rsid w:val="002D4897"/>
    <w:rsid w:val="002E2586"/>
    <w:rsid w:val="002E3D74"/>
    <w:rsid w:val="002E6412"/>
    <w:rsid w:val="002F4D9D"/>
    <w:rsid w:val="002F690F"/>
    <w:rsid w:val="00305742"/>
    <w:rsid w:val="00305B4D"/>
    <w:rsid w:val="00310ED2"/>
    <w:rsid w:val="00317953"/>
    <w:rsid w:val="00322BFE"/>
    <w:rsid w:val="00332A80"/>
    <w:rsid w:val="00336936"/>
    <w:rsid w:val="003449BA"/>
    <w:rsid w:val="00344BF9"/>
    <w:rsid w:val="003632CC"/>
    <w:rsid w:val="00374D79"/>
    <w:rsid w:val="00376067"/>
    <w:rsid w:val="00380EF3"/>
    <w:rsid w:val="003853AE"/>
    <w:rsid w:val="00387CA8"/>
    <w:rsid w:val="00394001"/>
    <w:rsid w:val="003A5EE1"/>
    <w:rsid w:val="003B47CD"/>
    <w:rsid w:val="003C3093"/>
    <w:rsid w:val="003D0CA5"/>
    <w:rsid w:val="003D1E0E"/>
    <w:rsid w:val="003D419E"/>
    <w:rsid w:val="003D5D98"/>
    <w:rsid w:val="003F282E"/>
    <w:rsid w:val="0040231C"/>
    <w:rsid w:val="00405356"/>
    <w:rsid w:val="00405B03"/>
    <w:rsid w:val="004209FB"/>
    <w:rsid w:val="00424897"/>
    <w:rsid w:val="00425C81"/>
    <w:rsid w:val="004335EB"/>
    <w:rsid w:val="0043360D"/>
    <w:rsid w:val="004379AB"/>
    <w:rsid w:val="00446D6C"/>
    <w:rsid w:val="004524FA"/>
    <w:rsid w:val="00455EC2"/>
    <w:rsid w:val="004723BA"/>
    <w:rsid w:val="0048237A"/>
    <w:rsid w:val="00492F04"/>
    <w:rsid w:val="004A0D4E"/>
    <w:rsid w:val="004A1AF1"/>
    <w:rsid w:val="004A205D"/>
    <w:rsid w:val="004A5D48"/>
    <w:rsid w:val="004B2746"/>
    <w:rsid w:val="004D0C0E"/>
    <w:rsid w:val="004D21EC"/>
    <w:rsid w:val="004D2F47"/>
    <w:rsid w:val="004D3B83"/>
    <w:rsid w:val="004D3EC6"/>
    <w:rsid w:val="004D3FCB"/>
    <w:rsid w:val="004F10FE"/>
    <w:rsid w:val="004F7DC7"/>
    <w:rsid w:val="00500CE9"/>
    <w:rsid w:val="00514C2F"/>
    <w:rsid w:val="00517B6D"/>
    <w:rsid w:val="0052153F"/>
    <w:rsid w:val="0053050E"/>
    <w:rsid w:val="00531FB5"/>
    <w:rsid w:val="0053488E"/>
    <w:rsid w:val="005402F1"/>
    <w:rsid w:val="00543549"/>
    <w:rsid w:val="0054393F"/>
    <w:rsid w:val="005443D7"/>
    <w:rsid w:val="00547C47"/>
    <w:rsid w:val="00550E46"/>
    <w:rsid w:val="00574060"/>
    <w:rsid w:val="005859AB"/>
    <w:rsid w:val="005859D8"/>
    <w:rsid w:val="0059732E"/>
    <w:rsid w:val="005A0584"/>
    <w:rsid w:val="005A058F"/>
    <w:rsid w:val="005B71C5"/>
    <w:rsid w:val="005C5512"/>
    <w:rsid w:val="005D0574"/>
    <w:rsid w:val="005D4B74"/>
    <w:rsid w:val="005E3787"/>
    <w:rsid w:val="005E660D"/>
    <w:rsid w:val="005E6BEE"/>
    <w:rsid w:val="006011EB"/>
    <w:rsid w:val="00610941"/>
    <w:rsid w:val="00611649"/>
    <w:rsid w:val="006126C6"/>
    <w:rsid w:val="0061278A"/>
    <w:rsid w:val="0061381B"/>
    <w:rsid w:val="006213EA"/>
    <w:rsid w:val="006231D5"/>
    <w:rsid w:val="006244A4"/>
    <w:rsid w:val="00640723"/>
    <w:rsid w:val="0064685C"/>
    <w:rsid w:val="00657914"/>
    <w:rsid w:val="00663691"/>
    <w:rsid w:val="006722CF"/>
    <w:rsid w:val="00676E15"/>
    <w:rsid w:val="00685000"/>
    <w:rsid w:val="0069087D"/>
    <w:rsid w:val="006927BB"/>
    <w:rsid w:val="006A2226"/>
    <w:rsid w:val="006A36A4"/>
    <w:rsid w:val="006B30F8"/>
    <w:rsid w:val="006C63B0"/>
    <w:rsid w:val="006D3D35"/>
    <w:rsid w:val="006E4755"/>
    <w:rsid w:val="00704742"/>
    <w:rsid w:val="00704D1D"/>
    <w:rsid w:val="00707EF8"/>
    <w:rsid w:val="00713B8A"/>
    <w:rsid w:val="0072311C"/>
    <w:rsid w:val="00734CF3"/>
    <w:rsid w:val="00736473"/>
    <w:rsid w:val="00737509"/>
    <w:rsid w:val="00737C6C"/>
    <w:rsid w:val="007411B2"/>
    <w:rsid w:val="00761123"/>
    <w:rsid w:val="007620FB"/>
    <w:rsid w:val="00766F0D"/>
    <w:rsid w:val="00773190"/>
    <w:rsid w:val="007738CB"/>
    <w:rsid w:val="00784CA1"/>
    <w:rsid w:val="00784D00"/>
    <w:rsid w:val="007871AD"/>
    <w:rsid w:val="00796920"/>
    <w:rsid w:val="007B535E"/>
    <w:rsid w:val="007B6853"/>
    <w:rsid w:val="007D564D"/>
    <w:rsid w:val="007E6843"/>
    <w:rsid w:val="007F2285"/>
    <w:rsid w:val="007F4BD4"/>
    <w:rsid w:val="00801A07"/>
    <w:rsid w:val="00803AD6"/>
    <w:rsid w:val="00812E0B"/>
    <w:rsid w:val="00815D25"/>
    <w:rsid w:val="00817CCE"/>
    <w:rsid w:val="008330C6"/>
    <w:rsid w:val="0085198D"/>
    <w:rsid w:val="008526FD"/>
    <w:rsid w:val="00861C0A"/>
    <w:rsid w:val="0087081E"/>
    <w:rsid w:val="0088379A"/>
    <w:rsid w:val="00895F02"/>
    <w:rsid w:val="00897265"/>
    <w:rsid w:val="008C08F6"/>
    <w:rsid w:val="008C196A"/>
    <w:rsid w:val="008C5D39"/>
    <w:rsid w:val="008D1087"/>
    <w:rsid w:val="008D38FC"/>
    <w:rsid w:val="008E1DAF"/>
    <w:rsid w:val="008E2682"/>
    <w:rsid w:val="008E463E"/>
    <w:rsid w:val="008E7445"/>
    <w:rsid w:val="008F79CF"/>
    <w:rsid w:val="00900A9C"/>
    <w:rsid w:val="00904A42"/>
    <w:rsid w:val="00904D4B"/>
    <w:rsid w:val="0090744F"/>
    <w:rsid w:val="00911406"/>
    <w:rsid w:val="00922487"/>
    <w:rsid w:val="009370D1"/>
    <w:rsid w:val="00937A10"/>
    <w:rsid w:val="00940999"/>
    <w:rsid w:val="00950F5A"/>
    <w:rsid w:val="0095449A"/>
    <w:rsid w:val="00957D89"/>
    <w:rsid w:val="00963B03"/>
    <w:rsid w:val="00970364"/>
    <w:rsid w:val="00980374"/>
    <w:rsid w:val="00981D90"/>
    <w:rsid w:val="00995B15"/>
    <w:rsid w:val="009A5822"/>
    <w:rsid w:val="009B15EF"/>
    <w:rsid w:val="009B174C"/>
    <w:rsid w:val="009B78E9"/>
    <w:rsid w:val="009C59B1"/>
    <w:rsid w:val="009E12C7"/>
    <w:rsid w:val="009E1CFD"/>
    <w:rsid w:val="009E6F7A"/>
    <w:rsid w:val="009F3A5D"/>
    <w:rsid w:val="009F76D8"/>
    <w:rsid w:val="00A01BE7"/>
    <w:rsid w:val="00A163F3"/>
    <w:rsid w:val="00A207E6"/>
    <w:rsid w:val="00A30CF0"/>
    <w:rsid w:val="00A3178F"/>
    <w:rsid w:val="00A35A8C"/>
    <w:rsid w:val="00A446B2"/>
    <w:rsid w:val="00A51EC9"/>
    <w:rsid w:val="00A52AFC"/>
    <w:rsid w:val="00A560E0"/>
    <w:rsid w:val="00A72FF9"/>
    <w:rsid w:val="00A873D3"/>
    <w:rsid w:val="00A9292A"/>
    <w:rsid w:val="00A92AB4"/>
    <w:rsid w:val="00AB304D"/>
    <w:rsid w:val="00AC4EC0"/>
    <w:rsid w:val="00AC7213"/>
    <w:rsid w:val="00AD7534"/>
    <w:rsid w:val="00AE1209"/>
    <w:rsid w:val="00AE7501"/>
    <w:rsid w:val="00AF52CD"/>
    <w:rsid w:val="00AF7779"/>
    <w:rsid w:val="00B14585"/>
    <w:rsid w:val="00B250B3"/>
    <w:rsid w:val="00B358FA"/>
    <w:rsid w:val="00B37BB0"/>
    <w:rsid w:val="00B37F70"/>
    <w:rsid w:val="00B43398"/>
    <w:rsid w:val="00B4452E"/>
    <w:rsid w:val="00B4543D"/>
    <w:rsid w:val="00B457AA"/>
    <w:rsid w:val="00B506F0"/>
    <w:rsid w:val="00B53A46"/>
    <w:rsid w:val="00B57A2A"/>
    <w:rsid w:val="00B628B9"/>
    <w:rsid w:val="00B63CD2"/>
    <w:rsid w:val="00B65BF3"/>
    <w:rsid w:val="00B76884"/>
    <w:rsid w:val="00B83EFC"/>
    <w:rsid w:val="00B95BEE"/>
    <w:rsid w:val="00BA0881"/>
    <w:rsid w:val="00BB0C93"/>
    <w:rsid w:val="00BE18FB"/>
    <w:rsid w:val="00BE7006"/>
    <w:rsid w:val="00BF54C1"/>
    <w:rsid w:val="00C03DF8"/>
    <w:rsid w:val="00C22707"/>
    <w:rsid w:val="00C27C35"/>
    <w:rsid w:val="00C4449D"/>
    <w:rsid w:val="00C45820"/>
    <w:rsid w:val="00C61B0C"/>
    <w:rsid w:val="00C80720"/>
    <w:rsid w:val="00C80B79"/>
    <w:rsid w:val="00C842A0"/>
    <w:rsid w:val="00CA6FD1"/>
    <w:rsid w:val="00CB0724"/>
    <w:rsid w:val="00CB2F24"/>
    <w:rsid w:val="00CC00E7"/>
    <w:rsid w:val="00CC24DE"/>
    <w:rsid w:val="00CC3319"/>
    <w:rsid w:val="00CD365D"/>
    <w:rsid w:val="00CE791C"/>
    <w:rsid w:val="00CE7B95"/>
    <w:rsid w:val="00D074D0"/>
    <w:rsid w:val="00D13982"/>
    <w:rsid w:val="00D1508E"/>
    <w:rsid w:val="00D172D9"/>
    <w:rsid w:val="00D225AA"/>
    <w:rsid w:val="00D369C4"/>
    <w:rsid w:val="00D3730F"/>
    <w:rsid w:val="00D377BD"/>
    <w:rsid w:val="00D4756A"/>
    <w:rsid w:val="00D51167"/>
    <w:rsid w:val="00D51BC0"/>
    <w:rsid w:val="00D6288A"/>
    <w:rsid w:val="00D62E86"/>
    <w:rsid w:val="00D739E4"/>
    <w:rsid w:val="00D77972"/>
    <w:rsid w:val="00D80AA9"/>
    <w:rsid w:val="00D84CFA"/>
    <w:rsid w:val="00D86E7D"/>
    <w:rsid w:val="00D95D73"/>
    <w:rsid w:val="00DB45CC"/>
    <w:rsid w:val="00DB633F"/>
    <w:rsid w:val="00DE53E3"/>
    <w:rsid w:val="00DE7E53"/>
    <w:rsid w:val="00DF3B6C"/>
    <w:rsid w:val="00DF712B"/>
    <w:rsid w:val="00E27658"/>
    <w:rsid w:val="00E27A66"/>
    <w:rsid w:val="00E3281E"/>
    <w:rsid w:val="00E34098"/>
    <w:rsid w:val="00E35BAB"/>
    <w:rsid w:val="00E4505D"/>
    <w:rsid w:val="00E61747"/>
    <w:rsid w:val="00E67EB5"/>
    <w:rsid w:val="00E71BE2"/>
    <w:rsid w:val="00E82768"/>
    <w:rsid w:val="00E85692"/>
    <w:rsid w:val="00E87B50"/>
    <w:rsid w:val="00E937C3"/>
    <w:rsid w:val="00E953AE"/>
    <w:rsid w:val="00E95FBC"/>
    <w:rsid w:val="00E97D3E"/>
    <w:rsid w:val="00E97E3E"/>
    <w:rsid w:val="00EA38E7"/>
    <w:rsid w:val="00EA3BA0"/>
    <w:rsid w:val="00EB2F36"/>
    <w:rsid w:val="00EB7CE5"/>
    <w:rsid w:val="00ED3635"/>
    <w:rsid w:val="00EF5EC4"/>
    <w:rsid w:val="00F05786"/>
    <w:rsid w:val="00F05EA6"/>
    <w:rsid w:val="00F0726E"/>
    <w:rsid w:val="00F07990"/>
    <w:rsid w:val="00F1366C"/>
    <w:rsid w:val="00F35E33"/>
    <w:rsid w:val="00F40E89"/>
    <w:rsid w:val="00F46271"/>
    <w:rsid w:val="00F46FF0"/>
    <w:rsid w:val="00F66717"/>
    <w:rsid w:val="00F671AA"/>
    <w:rsid w:val="00F7542D"/>
    <w:rsid w:val="00F771C1"/>
    <w:rsid w:val="00F82B49"/>
    <w:rsid w:val="00F84A55"/>
    <w:rsid w:val="00FB0D07"/>
    <w:rsid w:val="00FD1578"/>
    <w:rsid w:val="00FE35E5"/>
    <w:rsid w:val="00FF2A48"/>
    <w:rsid w:val="00FF63E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4E4627"/>
  <w15:chartTrackingRefBased/>
  <w15:docId w15:val="{13A77E4D-DDCC-448E-9B47-A230F58FC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3D35"/>
    <w:pPr>
      <w:spacing w:after="0" w:line="260" w:lineRule="exact"/>
    </w:pPr>
    <w:rPr>
      <w:rFonts w:ascii="Calibri" w:hAnsi="Calibri" w:cs="Times New Roman"/>
      <w:szCs w:val="40"/>
    </w:rPr>
  </w:style>
  <w:style w:type="paragraph" w:styleId="Kop1">
    <w:name w:val="heading 1"/>
    <w:basedOn w:val="Standaard"/>
    <w:next w:val="Standaard"/>
    <w:link w:val="Kop1Char"/>
    <w:uiPriority w:val="9"/>
    <w:qFormat/>
    <w:rsid w:val="006D3D35"/>
    <w:pPr>
      <w:keepNext/>
      <w:keepLines/>
      <w:outlineLvl w:val="0"/>
    </w:pPr>
    <w:rPr>
      <w:rFonts w:eastAsiaTheme="majorEastAsia" w:cstheme="majorBidi"/>
      <w:bCs/>
      <w:caps/>
      <w:sz w:val="28"/>
      <w:szCs w:val="28"/>
    </w:rPr>
  </w:style>
  <w:style w:type="paragraph" w:styleId="Kop2">
    <w:name w:val="heading 2"/>
    <w:basedOn w:val="Standaard"/>
    <w:next w:val="Standaard"/>
    <w:link w:val="Kop2Char"/>
    <w:uiPriority w:val="9"/>
    <w:unhideWhenUsed/>
    <w:qFormat/>
    <w:rsid w:val="006D3D35"/>
    <w:pPr>
      <w:keepNext/>
      <w:keepLines/>
      <w:outlineLvl w:val="1"/>
    </w:pPr>
    <w:rPr>
      <w:rFonts w:eastAsiaTheme="majorEastAsia" w:cstheme="majorBidi"/>
      <w:bCs/>
      <w:caps/>
      <w:szCs w:val="26"/>
    </w:rPr>
  </w:style>
  <w:style w:type="paragraph" w:styleId="Kop3">
    <w:name w:val="heading 3"/>
    <w:basedOn w:val="Standaard"/>
    <w:next w:val="Standaard"/>
    <w:link w:val="Kop3Char"/>
    <w:uiPriority w:val="9"/>
    <w:unhideWhenUsed/>
    <w:qFormat/>
    <w:rsid w:val="006D3D35"/>
    <w:pPr>
      <w:keepNext/>
      <w:keepLines/>
      <w:outlineLvl w:val="2"/>
    </w:pPr>
    <w:rPr>
      <w:rFonts w:eastAsiaTheme="majorEastAsia" w:cstheme="majorBidi"/>
      <w:b/>
      <w:bCs/>
      <w:sz w:val="20"/>
    </w:rPr>
  </w:style>
  <w:style w:type="paragraph" w:styleId="Kop4">
    <w:name w:val="heading 4"/>
    <w:basedOn w:val="Standaard"/>
    <w:next w:val="Standaard"/>
    <w:link w:val="Kop4Char"/>
    <w:uiPriority w:val="9"/>
    <w:semiHidden/>
    <w:unhideWhenUsed/>
    <w:rsid w:val="00861C0A"/>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Kop5">
    <w:name w:val="heading 5"/>
    <w:basedOn w:val="Standaard"/>
    <w:next w:val="Standaard"/>
    <w:link w:val="Kop5Char"/>
    <w:uiPriority w:val="9"/>
    <w:semiHidden/>
    <w:unhideWhenUsed/>
    <w:qFormat/>
    <w:rsid w:val="00861C0A"/>
    <w:pPr>
      <w:keepNext/>
      <w:keepLines/>
      <w:spacing w:before="80" w:after="40"/>
      <w:outlineLvl w:val="4"/>
    </w:pPr>
    <w:rPr>
      <w:rFonts w:asciiTheme="minorHAnsi" w:eastAsiaTheme="majorEastAsia" w:hAnsiTheme="minorHAnsi" w:cstheme="majorBidi"/>
      <w:color w:val="2E74B5" w:themeColor="accent1" w:themeShade="BF"/>
    </w:rPr>
  </w:style>
  <w:style w:type="paragraph" w:styleId="Kop6">
    <w:name w:val="heading 6"/>
    <w:basedOn w:val="Standaard"/>
    <w:next w:val="Standaard"/>
    <w:link w:val="Kop6Char"/>
    <w:uiPriority w:val="9"/>
    <w:semiHidden/>
    <w:unhideWhenUsed/>
    <w:qFormat/>
    <w:rsid w:val="00861C0A"/>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861C0A"/>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861C0A"/>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861C0A"/>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57914"/>
    <w:rPr>
      <w:color w:val="0563C1" w:themeColor="hyperlink"/>
      <w:u w:val="single"/>
    </w:rPr>
  </w:style>
  <w:style w:type="table" w:styleId="Tabelraster">
    <w:name w:val="Table Grid"/>
    <w:basedOn w:val="Standaardtabel"/>
    <w:uiPriority w:val="39"/>
    <w:rsid w:val="00004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rsid w:val="00657914"/>
    <w:pPr>
      <w:ind w:left="720"/>
      <w:contextualSpacing/>
    </w:pPr>
  </w:style>
  <w:style w:type="paragraph" w:styleId="Ballontekst">
    <w:name w:val="Balloon Text"/>
    <w:basedOn w:val="Standaard"/>
    <w:link w:val="BallontekstChar"/>
    <w:uiPriority w:val="99"/>
    <w:semiHidden/>
    <w:unhideWhenUsed/>
    <w:rsid w:val="00F0726E"/>
    <w:pPr>
      <w:spacing w:line="240" w:lineRule="auto"/>
    </w:pPr>
    <w:rPr>
      <w:rFonts w:ascii="Lucida Grande" w:hAnsi="Lucida Grande"/>
      <w:szCs w:val="18"/>
    </w:rPr>
  </w:style>
  <w:style w:type="character" w:customStyle="1" w:styleId="BallontekstChar">
    <w:name w:val="Ballontekst Char"/>
    <w:basedOn w:val="Standaardalinea-lettertype"/>
    <w:link w:val="Ballontekst"/>
    <w:uiPriority w:val="99"/>
    <w:semiHidden/>
    <w:rsid w:val="00F0726E"/>
    <w:rPr>
      <w:rFonts w:ascii="Lucida Grande" w:eastAsia="Calibri" w:hAnsi="Lucida Grande" w:cs="Times New Roman"/>
      <w:sz w:val="18"/>
      <w:szCs w:val="18"/>
    </w:rPr>
  </w:style>
  <w:style w:type="paragraph" w:styleId="Koptekst">
    <w:name w:val="header"/>
    <w:basedOn w:val="Standaard"/>
    <w:link w:val="KoptekstChar"/>
    <w:uiPriority w:val="99"/>
    <w:unhideWhenUsed/>
    <w:rsid w:val="00B63CD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63CD2"/>
    <w:rPr>
      <w:rFonts w:ascii="Verdana" w:eastAsia="Calibri" w:hAnsi="Verdana" w:cs="Times New Roman"/>
      <w:sz w:val="18"/>
      <w:szCs w:val="40"/>
    </w:rPr>
  </w:style>
  <w:style w:type="paragraph" w:styleId="Voettekst">
    <w:name w:val="footer"/>
    <w:basedOn w:val="Standaard"/>
    <w:link w:val="VoettekstChar"/>
    <w:uiPriority w:val="99"/>
    <w:unhideWhenUsed/>
    <w:rsid w:val="00B63CD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63CD2"/>
    <w:rPr>
      <w:rFonts w:ascii="Verdana" w:eastAsia="Calibri" w:hAnsi="Verdana" w:cs="Times New Roman"/>
      <w:sz w:val="18"/>
      <w:szCs w:val="40"/>
    </w:rPr>
  </w:style>
  <w:style w:type="character" w:customStyle="1" w:styleId="Kop1Char">
    <w:name w:val="Kop 1 Char"/>
    <w:basedOn w:val="Standaardalinea-lettertype"/>
    <w:link w:val="Kop1"/>
    <w:uiPriority w:val="9"/>
    <w:rsid w:val="006D3D35"/>
    <w:rPr>
      <w:rFonts w:ascii="Calibri" w:eastAsiaTheme="majorEastAsia" w:hAnsi="Calibri" w:cstheme="majorBidi"/>
      <w:bCs/>
      <w:caps/>
      <w:sz w:val="28"/>
      <w:szCs w:val="28"/>
    </w:rPr>
  </w:style>
  <w:style w:type="character" w:customStyle="1" w:styleId="Kop2Char">
    <w:name w:val="Kop 2 Char"/>
    <w:basedOn w:val="Standaardalinea-lettertype"/>
    <w:link w:val="Kop2"/>
    <w:uiPriority w:val="9"/>
    <w:rsid w:val="006D3D35"/>
    <w:rPr>
      <w:rFonts w:ascii="Calibri" w:eastAsiaTheme="majorEastAsia" w:hAnsi="Calibri" w:cstheme="majorBidi"/>
      <w:bCs/>
      <w:caps/>
      <w:szCs w:val="26"/>
    </w:rPr>
  </w:style>
  <w:style w:type="paragraph" w:styleId="Titel">
    <w:name w:val="Title"/>
    <w:basedOn w:val="Standaard"/>
    <w:next w:val="Standaard"/>
    <w:link w:val="TitelChar"/>
    <w:uiPriority w:val="10"/>
    <w:qFormat/>
    <w:rsid w:val="006D3D35"/>
    <w:pPr>
      <w:spacing w:before="240"/>
      <w:contextualSpacing/>
    </w:pPr>
    <w:rPr>
      <w:rFonts w:eastAsiaTheme="majorEastAsia" w:cstheme="majorBidi"/>
      <w:b/>
      <w:color w:val="323E4F" w:themeColor="text2" w:themeShade="BF"/>
      <w:spacing w:val="5"/>
      <w:kern w:val="28"/>
      <w:sz w:val="40"/>
      <w:szCs w:val="52"/>
    </w:rPr>
  </w:style>
  <w:style w:type="character" w:customStyle="1" w:styleId="TitelChar">
    <w:name w:val="Titel Char"/>
    <w:basedOn w:val="Standaardalinea-lettertype"/>
    <w:link w:val="Titel"/>
    <w:uiPriority w:val="10"/>
    <w:rsid w:val="006D3D35"/>
    <w:rPr>
      <w:rFonts w:ascii="Calibri" w:eastAsiaTheme="majorEastAsia" w:hAnsi="Calibri" w:cstheme="majorBidi"/>
      <w:b/>
      <w:color w:val="323E4F" w:themeColor="text2" w:themeShade="BF"/>
      <w:spacing w:val="5"/>
      <w:kern w:val="28"/>
      <w:sz w:val="40"/>
      <w:szCs w:val="52"/>
    </w:rPr>
  </w:style>
  <w:style w:type="character" w:customStyle="1" w:styleId="Kop3Char">
    <w:name w:val="Kop 3 Char"/>
    <w:basedOn w:val="Standaardalinea-lettertype"/>
    <w:link w:val="Kop3"/>
    <w:uiPriority w:val="9"/>
    <w:rsid w:val="006D3D35"/>
    <w:rPr>
      <w:rFonts w:ascii="Calibri" w:eastAsiaTheme="majorEastAsia" w:hAnsi="Calibri" w:cstheme="majorBidi"/>
      <w:b/>
      <w:bCs/>
      <w:sz w:val="20"/>
      <w:szCs w:val="40"/>
    </w:rPr>
  </w:style>
  <w:style w:type="paragraph" w:styleId="Inhopg9">
    <w:name w:val="toc 9"/>
    <w:basedOn w:val="Standaard"/>
    <w:next w:val="Standaard"/>
    <w:autoRedefine/>
    <w:uiPriority w:val="39"/>
    <w:unhideWhenUsed/>
    <w:rsid w:val="006D3D35"/>
    <w:pPr>
      <w:spacing w:after="100"/>
      <w:ind w:left="1760"/>
    </w:pPr>
  </w:style>
  <w:style w:type="table" w:styleId="Donkerelijst-accent1">
    <w:name w:val="Dark List Accent 1"/>
    <w:basedOn w:val="Standaardtabel"/>
    <w:uiPriority w:val="70"/>
    <w:rsid w:val="003853AE"/>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onkerelijst-accent5">
    <w:name w:val="Dark List Accent 5"/>
    <w:basedOn w:val="Standaardtabel"/>
    <w:uiPriority w:val="70"/>
    <w:rsid w:val="003853AE"/>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onkerelijst">
    <w:name w:val="Dark List"/>
    <w:basedOn w:val="Standaardtabel"/>
    <w:uiPriority w:val="70"/>
    <w:rsid w:val="00B53A4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2">
    <w:name w:val="Dark List Accent 2"/>
    <w:basedOn w:val="Standaardtabel"/>
    <w:uiPriority w:val="70"/>
    <w:rsid w:val="00004F37"/>
    <w:pPr>
      <w:spacing w:after="0" w:line="240" w:lineRule="auto"/>
    </w:pPr>
    <w:rPr>
      <w:color w:val="FFFFFF" w:themeColor="background1"/>
    </w:rPr>
    <w:tblPr>
      <w:tblStyleRowBandSize w:val="1"/>
      <w:tblStyleCol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tblBorders>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Gemiddeldearcering2">
    <w:name w:val="Medium Shading 2"/>
    <w:basedOn w:val="Standaardtabel"/>
    <w:uiPriority w:val="64"/>
    <w:rsid w:val="00004F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Kleurrijkraster">
    <w:name w:val="Colorful Grid"/>
    <w:basedOn w:val="Standaardtabel"/>
    <w:uiPriority w:val="73"/>
    <w:rsid w:val="00004F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chtearcering">
    <w:name w:val="Light Shading"/>
    <w:basedOn w:val="Standaardtabel"/>
    <w:uiPriority w:val="60"/>
    <w:rsid w:val="00EA38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FNOCorporate2">
    <w:name w:val="FNOCorporate2"/>
    <w:basedOn w:val="Standaardtabel"/>
    <w:uiPriority w:val="99"/>
    <w:rsid w:val="00261655"/>
    <w:pPr>
      <w:spacing w:after="0" w:line="240" w:lineRule="auto"/>
    </w:pPr>
    <w:tblPr>
      <w:tblStyleRowBandSize w:val="1"/>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Pr>
    <w:tblStylePr w:type="firstRow">
      <w:rPr>
        <w:rFonts w:ascii="Calibri" w:hAnsi="Calibri"/>
        <w:color w:val="auto"/>
        <w:sz w:val="22"/>
      </w:rPr>
      <w:tblPr/>
      <w:tcPr>
        <w:tcBorders>
          <w:top w:val="nil"/>
          <w:left w:val="nil"/>
          <w:bottom w:val="nil"/>
          <w:right w:val="nil"/>
          <w:insideH w:val="nil"/>
          <w:insideV w:val="nil"/>
          <w:tl2br w:val="nil"/>
          <w:tr2bl w:val="nil"/>
        </w:tcBorders>
        <w:shd w:val="clear" w:color="auto" w:fill="FFCC99"/>
      </w:tcPr>
    </w:tblStylePr>
    <w:tblStylePr w:type="band1Horz">
      <w:rPr>
        <w:rFonts w:ascii="Calibri" w:hAnsi="Calibri"/>
        <w:color w:val="auto"/>
        <w:sz w:val="22"/>
      </w:rPr>
      <w:tblPr/>
      <w:tcPr>
        <w:tcBorders>
          <w:top w:val="nil"/>
          <w:left w:val="nil"/>
          <w:bottom w:val="nil"/>
          <w:right w:val="nil"/>
          <w:insideH w:val="nil"/>
          <w:insideV w:val="nil"/>
          <w:tl2br w:val="nil"/>
          <w:tr2bl w:val="nil"/>
        </w:tcBorders>
        <w:shd w:val="clear" w:color="auto" w:fill="FFE5CC"/>
      </w:tcPr>
    </w:tblStylePr>
    <w:tblStylePr w:type="band2Horz">
      <w:rPr>
        <w:rFonts w:ascii="Calibri" w:hAnsi="Calibri"/>
        <w:color w:val="auto"/>
        <w:sz w:val="22"/>
      </w:rPr>
      <w:tblPr/>
      <w:tcPr>
        <w:tcBorders>
          <w:top w:val="nil"/>
          <w:left w:val="nil"/>
          <w:bottom w:val="nil"/>
          <w:right w:val="nil"/>
          <w:insideH w:val="nil"/>
          <w:insideV w:val="nil"/>
          <w:tl2br w:val="nil"/>
          <w:tr2bl w:val="nil"/>
        </w:tcBorders>
        <w:shd w:val="clear" w:color="auto" w:fill="FFF5EB"/>
      </w:tcPr>
    </w:tblStylePr>
  </w:style>
  <w:style w:type="table" w:customStyle="1" w:styleId="FNOCorporate1">
    <w:name w:val="FNOCorporate1"/>
    <w:basedOn w:val="FNOCorporate2"/>
    <w:uiPriority w:val="99"/>
    <w:rsid w:val="00261655"/>
    <w:tblP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Pr>
    <w:tblStylePr w:type="firstRow">
      <w:rPr>
        <w:rFonts w:ascii="Calibri" w:hAnsi="Calibri"/>
        <w:color w:val="FFFFFF" w:themeColor="background1"/>
        <w:sz w:val="22"/>
      </w:rPr>
      <w:tblPr/>
      <w:tcPr>
        <w:tcBorders>
          <w:top w:val="nil"/>
          <w:left w:val="nil"/>
          <w:bottom w:val="nil"/>
          <w:right w:val="nil"/>
          <w:insideH w:val="nil"/>
          <w:insideV w:val="nil"/>
          <w:tl2br w:val="nil"/>
          <w:tr2bl w:val="nil"/>
        </w:tcBorders>
        <w:shd w:val="clear" w:color="auto" w:fill="663366"/>
      </w:tcPr>
    </w:tblStylePr>
    <w:tblStylePr w:type="band1Horz">
      <w:rPr>
        <w:rFonts w:ascii="Calibri" w:hAnsi="Calibri"/>
        <w:color w:val="auto"/>
        <w:sz w:val="22"/>
      </w:rPr>
      <w:tblPr/>
      <w:tcPr>
        <w:tcBorders>
          <w:top w:val="nil"/>
          <w:left w:val="nil"/>
          <w:bottom w:val="nil"/>
          <w:right w:val="nil"/>
          <w:insideH w:val="nil"/>
          <w:insideV w:val="nil"/>
          <w:tl2br w:val="nil"/>
          <w:tr2bl w:val="nil"/>
        </w:tcBorders>
        <w:shd w:val="clear" w:color="auto" w:fill="B299B2"/>
      </w:tcPr>
    </w:tblStylePr>
    <w:tblStylePr w:type="band2Horz">
      <w:rPr>
        <w:rFonts w:ascii="Calibri" w:hAnsi="Calibri"/>
        <w:color w:val="auto"/>
        <w:sz w:val="22"/>
      </w:rPr>
      <w:tblPr/>
      <w:tcPr>
        <w:tcBorders>
          <w:top w:val="nil"/>
          <w:left w:val="nil"/>
          <w:bottom w:val="nil"/>
          <w:right w:val="nil"/>
          <w:insideH w:val="nil"/>
          <w:insideV w:val="nil"/>
          <w:tl2br w:val="nil"/>
          <w:tr2bl w:val="nil"/>
        </w:tcBorders>
        <w:shd w:val="clear" w:color="auto" w:fill="F4D6E0"/>
      </w:tcPr>
    </w:tblStylePr>
  </w:style>
  <w:style w:type="table" w:customStyle="1" w:styleId="MVLT">
    <w:name w:val="MVLT"/>
    <w:basedOn w:val="FNOCorporate2"/>
    <w:uiPriority w:val="99"/>
    <w:rsid w:val="00261655"/>
    <w:tblPr/>
    <w:tblStylePr w:type="firstRow">
      <w:rPr>
        <w:rFonts w:ascii="Calibri" w:hAnsi="Calibri"/>
        <w:color w:val="FFFFFF" w:themeColor="background1"/>
        <w:sz w:val="22"/>
      </w:rPr>
      <w:tblPr/>
      <w:tcPr>
        <w:tcBorders>
          <w:top w:val="nil"/>
          <w:left w:val="nil"/>
          <w:bottom w:val="nil"/>
          <w:right w:val="nil"/>
          <w:insideH w:val="nil"/>
          <w:insideV w:val="nil"/>
          <w:tl2br w:val="nil"/>
          <w:tr2bl w:val="nil"/>
        </w:tcBorders>
        <w:shd w:val="clear" w:color="auto" w:fill="CA3249"/>
      </w:tcPr>
    </w:tblStylePr>
    <w:tblStylePr w:type="band1Horz">
      <w:rPr>
        <w:rFonts w:ascii="Calibri" w:hAnsi="Calibri"/>
        <w:color w:val="auto"/>
        <w:sz w:val="22"/>
      </w:rPr>
      <w:tblPr/>
      <w:tcPr>
        <w:tcBorders>
          <w:top w:val="nil"/>
          <w:left w:val="nil"/>
          <w:bottom w:val="nil"/>
          <w:right w:val="nil"/>
          <w:insideH w:val="nil"/>
          <w:insideV w:val="nil"/>
          <w:tl2br w:val="nil"/>
          <w:tr2bl w:val="nil"/>
        </w:tcBorders>
        <w:shd w:val="clear" w:color="auto" w:fill="E498A4"/>
      </w:tcPr>
    </w:tblStylePr>
    <w:tblStylePr w:type="band2Horz">
      <w:rPr>
        <w:rFonts w:ascii="Calibri" w:hAnsi="Calibri"/>
        <w:color w:val="auto"/>
        <w:sz w:val="22"/>
      </w:rPr>
      <w:tblPr/>
      <w:tcPr>
        <w:tcBorders>
          <w:top w:val="nil"/>
          <w:left w:val="nil"/>
          <w:bottom w:val="nil"/>
          <w:right w:val="nil"/>
          <w:insideH w:val="nil"/>
          <w:insideV w:val="nil"/>
          <w:tl2br w:val="nil"/>
          <w:tr2bl w:val="nil"/>
        </w:tcBorders>
        <w:shd w:val="clear" w:color="auto" w:fill="F4D6DB"/>
      </w:tcPr>
    </w:tblStylePr>
  </w:style>
  <w:style w:type="table" w:customStyle="1" w:styleId="GTD">
    <w:name w:val="GTD"/>
    <w:basedOn w:val="FNOCorporate1"/>
    <w:uiPriority w:val="99"/>
    <w:rsid w:val="00261655"/>
    <w:tblPr/>
    <w:tblStylePr w:type="firstRow">
      <w:rPr>
        <w:rFonts w:ascii="Calibri" w:hAnsi="Calibri"/>
        <w:color w:val="FFFFFF" w:themeColor="background1"/>
        <w:sz w:val="22"/>
      </w:rPr>
      <w:tblPr/>
      <w:tcPr>
        <w:tcBorders>
          <w:top w:val="nil"/>
          <w:left w:val="nil"/>
          <w:bottom w:val="nil"/>
          <w:right w:val="nil"/>
          <w:insideH w:val="nil"/>
          <w:insideV w:val="nil"/>
          <w:tl2br w:val="nil"/>
          <w:tr2bl w:val="nil"/>
        </w:tcBorders>
        <w:shd w:val="clear" w:color="auto" w:fill="1CBF87"/>
      </w:tcPr>
    </w:tblStylePr>
    <w:tblStylePr w:type="band1Horz">
      <w:rPr>
        <w:rFonts w:ascii="Calibri" w:hAnsi="Calibri"/>
        <w:color w:val="auto"/>
        <w:sz w:val="22"/>
      </w:rPr>
      <w:tblPr/>
      <w:tcPr>
        <w:tcBorders>
          <w:top w:val="nil"/>
          <w:left w:val="nil"/>
          <w:bottom w:val="nil"/>
          <w:right w:val="nil"/>
          <w:insideH w:val="nil"/>
          <w:insideV w:val="nil"/>
          <w:tl2br w:val="nil"/>
          <w:tr2bl w:val="nil"/>
        </w:tcBorders>
        <w:shd w:val="clear" w:color="auto" w:fill="8DDFC3"/>
      </w:tcPr>
    </w:tblStylePr>
    <w:tblStylePr w:type="band2Horz">
      <w:rPr>
        <w:rFonts w:ascii="Calibri" w:hAnsi="Calibri"/>
        <w:color w:val="auto"/>
        <w:sz w:val="22"/>
      </w:rPr>
      <w:tblPr/>
      <w:tcPr>
        <w:tcBorders>
          <w:top w:val="nil"/>
          <w:left w:val="nil"/>
          <w:bottom w:val="nil"/>
          <w:right w:val="nil"/>
          <w:insideH w:val="nil"/>
          <w:insideV w:val="nil"/>
          <w:tl2br w:val="nil"/>
          <w:tr2bl w:val="nil"/>
        </w:tcBorders>
        <w:shd w:val="clear" w:color="auto" w:fill="D2F2E7"/>
      </w:tcPr>
    </w:tblStylePr>
  </w:style>
  <w:style w:type="table" w:customStyle="1" w:styleId="ZeP">
    <w:name w:val="ZeP"/>
    <w:basedOn w:val="FNOCorporate1"/>
    <w:uiPriority w:val="99"/>
    <w:rsid w:val="00261655"/>
    <w:tblPr/>
    <w:tcPr>
      <w:shd w:val="clear" w:color="auto" w:fill="017687"/>
    </w:tcPr>
    <w:tblStylePr w:type="firstRow">
      <w:rPr>
        <w:rFonts w:ascii="Calibri" w:hAnsi="Calibri"/>
        <w:color w:val="FFFFFF" w:themeColor="background1"/>
        <w:sz w:val="22"/>
      </w:rPr>
      <w:tblPr/>
      <w:tcPr>
        <w:tcBorders>
          <w:top w:val="nil"/>
          <w:left w:val="nil"/>
          <w:bottom w:val="nil"/>
          <w:right w:val="nil"/>
          <w:insideH w:val="nil"/>
          <w:insideV w:val="nil"/>
          <w:tl2br w:val="nil"/>
          <w:tr2bl w:val="nil"/>
        </w:tcBorders>
        <w:shd w:val="clear" w:color="auto" w:fill="017687"/>
      </w:tcPr>
    </w:tblStylePr>
    <w:tblStylePr w:type="band1Horz">
      <w:rPr>
        <w:rFonts w:ascii="Calibri" w:hAnsi="Calibri"/>
        <w:color w:val="auto"/>
        <w:sz w:val="22"/>
      </w:rPr>
      <w:tblPr/>
      <w:tcPr>
        <w:tcBorders>
          <w:top w:val="nil"/>
          <w:left w:val="nil"/>
          <w:bottom w:val="nil"/>
          <w:right w:val="nil"/>
          <w:insideH w:val="nil"/>
          <w:insideV w:val="nil"/>
          <w:tl2br w:val="nil"/>
          <w:tr2bl w:val="nil"/>
        </w:tcBorders>
        <w:shd w:val="clear" w:color="auto" w:fill="80BAC3"/>
      </w:tcPr>
    </w:tblStylePr>
    <w:tblStylePr w:type="band2Horz">
      <w:rPr>
        <w:rFonts w:ascii="Calibri" w:hAnsi="Calibri"/>
        <w:color w:val="auto"/>
        <w:sz w:val="22"/>
      </w:rPr>
      <w:tblPr/>
      <w:tcPr>
        <w:tcBorders>
          <w:top w:val="nil"/>
          <w:left w:val="nil"/>
          <w:bottom w:val="nil"/>
          <w:right w:val="nil"/>
          <w:insideH w:val="nil"/>
          <w:insideV w:val="nil"/>
          <w:tl2br w:val="nil"/>
          <w:tr2bl w:val="nil"/>
        </w:tcBorders>
        <w:shd w:val="clear" w:color="auto" w:fill="CCE4E7"/>
      </w:tcPr>
    </w:tblStylePr>
  </w:style>
  <w:style w:type="table" w:customStyle="1" w:styleId="KG">
    <w:name w:val="KG"/>
    <w:basedOn w:val="FNOCorporate1"/>
    <w:uiPriority w:val="99"/>
    <w:rsid w:val="00261655"/>
    <w:tblPr/>
    <w:tblStylePr w:type="firstRow">
      <w:rPr>
        <w:rFonts w:ascii="Calibri" w:hAnsi="Calibri"/>
        <w:color w:val="FFFFFF" w:themeColor="background1"/>
        <w:sz w:val="22"/>
      </w:rPr>
      <w:tblPr/>
      <w:tcPr>
        <w:tcBorders>
          <w:top w:val="nil"/>
          <w:left w:val="nil"/>
          <w:bottom w:val="nil"/>
          <w:right w:val="nil"/>
          <w:insideH w:val="nil"/>
          <w:insideV w:val="nil"/>
          <w:tl2br w:val="nil"/>
          <w:tr2bl w:val="nil"/>
        </w:tcBorders>
        <w:shd w:val="clear" w:color="auto" w:fill="FF9F86"/>
      </w:tcPr>
    </w:tblStylePr>
    <w:tblStylePr w:type="band1Horz">
      <w:rPr>
        <w:rFonts w:ascii="Calibri" w:hAnsi="Calibri"/>
        <w:color w:val="auto"/>
        <w:sz w:val="22"/>
      </w:rPr>
      <w:tblPr/>
      <w:tcPr>
        <w:tcBorders>
          <w:top w:val="nil"/>
          <w:left w:val="nil"/>
          <w:bottom w:val="nil"/>
          <w:right w:val="nil"/>
          <w:insideH w:val="nil"/>
          <w:insideV w:val="nil"/>
          <w:tl2br w:val="nil"/>
          <w:tr2bl w:val="nil"/>
        </w:tcBorders>
        <w:shd w:val="clear" w:color="auto" w:fill="FFCFC2"/>
      </w:tcPr>
    </w:tblStylePr>
    <w:tblStylePr w:type="band2Horz">
      <w:rPr>
        <w:rFonts w:ascii="Calibri" w:hAnsi="Calibri"/>
        <w:color w:val="auto"/>
        <w:sz w:val="22"/>
      </w:rPr>
      <w:tblPr/>
      <w:tcPr>
        <w:tcBorders>
          <w:top w:val="nil"/>
          <w:left w:val="nil"/>
          <w:bottom w:val="nil"/>
          <w:right w:val="nil"/>
          <w:insideH w:val="nil"/>
          <w:insideV w:val="nil"/>
          <w:tl2br w:val="nil"/>
          <w:tr2bl w:val="nil"/>
        </w:tcBorders>
        <w:shd w:val="clear" w:color="auto" w:fill="FFECE7"/>
      </w:tcPr>
    </w:tblStylePr>
  </w:style>
  <w:style w:type="character" w:customStyle="1" w:styleId="Kop4Char">
    <w:name w:val="Kop 4 Char"/>
    <w:basedOn w:val="Standaardalinea-lettertype"/>
    <w:link w:val="Kop4"/>
    <w:uiPriority w:val="9"/>
    <w:semiHidden/>
    <w:rsid w:val="00861C0A"/>
    <w:rPr>
      <w:rFonts w:eastAsiaTheme="majorEastAsia" w:cstheme="majorBidi"/>
      <w:i/>
      <w:iCs/>
      <w:color w:val="2E74B5" w:themeColor="accent1" w:themeShade="BF"/>
      <w:szCs w:val="40"/>
    </w:rPr>
  </w:style>
  <w:style w:type="character" w:customStyle="1" w:styleId="Kop5Char">
    <w:name w:val="Kop 5 Char"/>
    <w:basedOn w:val="Standaardalinea-lettertype"/>
    <w:link w:val="Kop5"/>
    <w:uiPriority w:val="9"/>
    <w:semiHidden/>
    <w:rsid w:val="00861C0A"/>
    <w:rPr>
      <w:rFonts w:eastAsiaTheme="majorEastAsia" w:cstheme="majorBidi"/>
      <w:color w:val="2E74B5" w:themeColor="accent1" w:themeShade="BF"/>
      <w:szCs w:val="40"/>
    </w:rPr>
  </w:style>
  <w:style w:type="character" w:customStyle="1" w:styleId="Kop6Char">
    <w:name w:val="Kop 6 Char"/>
    <w:basedOn w:val="Standaardalinea-lettertype"/>
    <w:link w:val="Kop6"/>
    <w:uiPriority w:val="9"/>
    <w:semiHidden/>
    <w:rsid w:val="00861C0A"/>
    <w:rPr>
      <w:rFonts w:eastAsiaTheme="majorEastAsia" w:cstheme="majorBidi"/>
      <w:i/>
      <w:iCs/>
      <w:color w:val="595959" w:themeColor="text1" w:themeTint="A6"/>
      <w:szCs w:val="40"/>
    </w:rPr>
  </w:style>
  <w:style w:type="character" w:customStyle="1" w:styleId="Kop7Char">
    <w:name w:val="Kop 7 Char"/>
    <w:basedOn w:val="Standaardalinea-lettertype"/>
    <w:link w:val="Kop7"/>
    <w:uiPriority w:val="9"/>
    <w:semiHidden/>
    <w:rsid w:val="00861C0A"/>
    <w:rPr>
      <w:rFonts w:eastAsiaTheme="majorEastAsia" w:cstheme="majorBidi"/>
      <w:color w:val="595959" w:themeColor="text1" w:themeTint="A6"/>
      <w:szCs w:val="40"/>
    </w:rPr>
  </w:style>
  <w:style w:type="character" w:customStyle="1" w:styleId="Kop8Char">
    <w:name w:val="Kop 8 Char"/>
    <w:basedOn w:val="Standaardalinea-lettertype"/>
    <w:link w:val="Kop8"/>
    <w:uiPriority w:val="9"/>
    <w:semiHidden/>
    <w:rsid w:val="00861C0A"/>
    <w:rPr>
      <w:rFonts w:eastAsiaTheme="majorEastAsia" w:cstheme="majorBidi"/>
      <w:i/>
      <w:iCs/>
      <w:color w:val="272727" w:themeColor="text1" w:themeTint="D8"/>
      <w:szCs w:val="40"/>
    </w:rPr>
  </w:style>
  <w:style w:type="character" w:customStyle="1" w:styleId="Kop9Char">
    <w:name w:val="Kop 9 Char"/>
    <w:basedOn w:val="Standaardalinea-lettertype"/>
    <w:link w:val="Kop9"/>
    <w:uiPriority w:val="9"/>
    <w:semiHidden/>
    <w:rsid w:val="00861C0A"/>
    <w:rPr>
      <w:rFonts w:eastAsiaTheme="majorEastAsia" w:cstheme="majorBidi"/>
      <w:color w:val="272727" w:themeColor="text1" w:themeTint="D8"/>
      <w:szCs w:val="40"/>
    </w:rPr>
  </w:style>
  <w:style w:type="paragraph" w:styleId="Ondertitel">
    <w:name w:val="Subtitle"/>
    <w:basedOn w:val="Standaard"/>
    <w:next w:val="Standaard"/>
    <w:link w:val="OndertitelChar"/>
    <w:uiPriority w:val="11"/>
    <w:rsid w:val="00861C0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61C0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rsid w:val="00861C0A"/>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861C0A"/>
    <w:rPr>
      <w:rFonts w:ascii="Calibri" w:hAnsi="Calibri" w:cs="Times New Roman"/>
      <w:i/>
      <w:iCs/>
      <w:color w:val="404040" w:themeColor="text1" w:themeTint="BF"/>
      <w:szCs w:val="40"/>
    </w:rPr>
  </w:style>
  <w:style w:type="character" w:styleId="Intensievebenadrukking">
    <w:name w:val="Intense Emphasis"/>
    <w:basedOn w:val="Standaardalinea-lettertype"/>
    <w:uiPriority w:val="21"/>
    <w:rsid w:val="00861C0A"/>
    <w:rPr>
      <w:i/>
      <w:iCs/>
      <w:color w:val="2E74B5" w:themeColor="accent1" w:themeShade="BF"/>
    </w:rPr>
  </w:style>
  <w:style w:type="paragraph" w:styleId="Duidelijkcitaat">
    <w:name w:val="Intense Quote"/>
    <w:basedOn w:val="Standaard"/>
    <w:next w:val="Standaard"/>
    <w:link w:val="DuidelijkcitaatChar"/>
    <w:uiPriority w:val="30"/>
    <w:rsid w:val="00861C0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861C0A"/>
    <w:rPr>
      <w:rFonts w:ascii="Calibri" w:hAnsi="Calibri" w:cs="Times New Roman"/>
      <w:i/>
      <w:iCs/>
      <w:color w:val="2E74B5" w:themeColor="accent1" w:themeShade="BF"/>
      <w:szCs w:val="40"/>
    </w:rPr>
  </w:style>
  <w:style w:type="character" w:styleId="Intensieveverwijzing">
    <w:name w:val="Intense Reference"/>
    <w:basedOn w:val="Standaardalinea-lettertype"/>
    <w:uiPriority w:val="32"/>
    <w:rsid w:val="00861C0A"/>
    <w:rPr>
      <w:b/>
      <w:bCs/>
      <w:smallCaps/>
      <w:color w:val="2E74B5" w:themeColor="accent1" w:themeShade="BF"/>
      <w:spacing w:val="5"/>
    </w:rPr>
  </w:style>
  <w:style w:type="character" w:styleId="Onopgelostemelding">
    <w:name w:val="Unresolved Mention"/>
    <w:basedOn w:val="Standaardalinea-lettertype"/>
    <w:uiPriority w:val="99"/>
    <w:semiHidden/>
    <w:unhideWhenUsed/>
    <w:rsid w:val="002F690F"/>
    <w:rPr>
      <w:color w:val="605E5C"/>
      <w:shd w:val="clear" w:color="auto" w:fill="E1DFDD"/>
    </w:rPr>
  </w:style>
  <w:style w:type="character" w:styleId="GevolgdeHyperlink">
    <w:name w:val="FollowedHyperlink"/>
    <w:basedOn w:val="Standaardalinea-lettertype"/>
    <w:uiPriority w:val="99"/>
    <w:semiHidden/>
    <w:unhideWhenUsed/>
    <w:rsid w:val="002F690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23817">
      <w:bodyDiv w:val="1"/>
      <w:marLeft w:val="0"/>
      <w:marRight w:val="0"/>
      <w:marTop w:val="0"/>
      <w:marBottom w:val="0"/>
      <w:divBdr>
        <w:top w:val="none" w:sz="0" w:space="0" w:color="auto"/>
        <w:left w:val="none" w:sz="0" w:space="0" w:color="auto"/>
        <w:bottom w:val="none" w:sz="0" w:space="0" w:color="auto"/>
        <w:right w:val="none" w:sz="0" w:space="0" w:color="auto"/>
      </w:divBdr>
    </w:div>
    <w:div w:id="348067938">
      <w:bodyDiv w:val="1"/>
      <w:marLeft w:val="0"/>
      <w:marRight w:val="0"/>
      <w:marTop w:val="0"/>
      <w:marBottom w:val="0"/>
      <w:divBdr>
        <w:top w:val="none" w:sz="0" w:space="0" w:color="auto"/>
        <w:left w:val="none" w:sz="0" w:space="0" w:color="auto"/>
        <w:bottom w:val="none" w:sz="0" w:space="0" w:color="auto"/>
        <w:right w:val="none" w:sz="0" w:space="0" w:color="auto"/>
      </w:divBdr>
    </w:div>
    <w:div w:id="382681734">
      <w:bodyDiv w:val="1"/>
      <w:marLeft w:val="0"/>
      <w:marRight w:val="0"/>
      <w:marTop w:val="0"/>
      <w:marBottom w:val="0"/>
      <w:divBdr>
        <w:top w:val="none" w:sz="0" w:space="0" w:color="auto"/>
        <w:left w:val="none" w:sz="0" w:space="0" w:color="auto"/>
        <w:bottom w:val="none" w:sz="0" w:space="0" w:color="auto"/>
        <w:right w:val="none" w:sz="0" w:space="0" w:color="auto"/>
      </w:divBdr>
    </w:div>
    <w:div w:id="411003355">
      <w:bodyDiv w:val="1"/>
      <w:marLeft w:val="0"/>
      <w:marRight w:val="0"/>
      <w:marTop w:val="0"/>
      <w:marBottom w:val="0"/>
      <w:divBdr>
        <w:top w:val="none" w:sz="0" w:space="0" w:color="auto"/>
        <w:left w:val="none" w:sz="0" w:space="0" w:color="auto"/>
        <w:bottom w:val="none" w:sz="0" w:space="0" w:color="auto"/>
        <w:right w:val="none" w:sz="0" w:space="0" w:color="auto"/>
      </w:divBdr>
    </w:div>
    <w:div w:id="936793647">
      <w:bodyDiv w:val="1"/>
      <w:marLeft w:val="0"/>
      <w:marRight w:val="0"/>
      <w:marTop w:val="0"/>
      <w:marBottom w:val="0"/>
      <w:divBdr>
        <w:top w:val="none" w:sz="0" w:space="0" w:color="auto"/>
        <w:left w:val="none" w:sz="0" w:space="0" w:color="auto"/>
        <w:bottom w:val="none" w:sz="0" w:space="0" w:color="auto"/>
        <w:right w:val="none" w:sz="0" w:space="0" w:color="auto"/>
      </w:divBdr>
    </w:div>
    <w:div w:id="955603881">
      <w:bodyDiv w:val="1"/>
      <w:marLeft w:val="0"/>
      <w:marRight w:val="0"/>
      <w:marTop w:val="0"/>
      <w:marBottom w:val="0"/>
      <w:divBdr>
        <w:top w:val="none" w:sz="0" w:space="0" w:color="auto"/>
        <w:left w:val="none" w:sz="0" w:space="0" w:color="auto"/>
        <w:bottom w:val="none" w:sz="0" w:space="0" w:color="auto"/>
        <w:right w:val="none" w:sz="0" w:space="0" w:color="auto"/>
      </w:divBdr>
      <w:divsChild>
        <w:div w:id="264384153">
          <w:marLeft w:val="0"/>
          <w:marRight w:val="0"/>
          <w:marTop w:val="0"/>
          <w:marBottom w:val="0"/>
          <w:divBdr>
            <w:top w:val="none" w:sz="0" w:space="0" w:color="auto"/>
            <w:left w:val="none" w:sz="0" w:space="0" w:color="auto"/>
            <w:bottom w:val="none" w:sz="0" w:space="0" w:color="auto"/>
            <w:right w:val="none" w:sz="0" w:space="0" w:color="auto"/>
          </w:divBdr>
          <w:divsChild>
            <w:div w:id="83915197">
              <w:marLeft w:val="0"/>
              <w:marRight w:val="0"/>
              <w:marTop w:val="0"/>
              <w:marBottom w:val="0"/>
              <w:divBdr>
                <w:top w:val="none" w:sz="0" w:space="0" w:color="auto"/>
                <w:left w:val="none" w:sz="0" w:space="0" w:color="auto"/>
                <w:bottom w:val="none" w:sz="0" w:space="0" w:color="auto"/>
                <w:right w:val="none" w:sz="0" w:space="0" w:color="auto"/>
              </w:divBdr>
              <w:divsChild>
                <w:div w:id="1603151071">
                  <w:marLeft w:val="0"/>
                  <w:marRight w:val="0"/>
                  <w:marTop w:val="0"/>
                  <w:marBottom w:val="0"/>
                  <w:divBdr>
                    <w:top w:val="none" w:sz="0" w:space="0" w:color="auto"/>
                    <w:left w:val="none" w:sz="0" w:space="0" w:color="auto"/>
                    <w:bottom w:val="none" w:sz="0" w:space="0" w:color="auto"/>
                    <w:right w:val="none" w:sz="0" w:space="0" w:color="auto"/>
                  </w:divBdr>
                  <w:divsChild>
                    <w:div w:id="1015377620">
                      <w:marLeft w:val="0"/>
                      <w:marRight w:val="0"/>
                      <w:marTop w:val="0"/>
                      <w:marBottom w:val="0"/>
                      <w:divBdr>
                        <w:top w:val="none" w:sz="0" w:space="0" w:color="auto"/>
                        <w:left w:val="none" w:sz="0" w:space="0" w:color="auto"/>
                        <w:bottom w:val="none" w:sz="0" w:space="0" w:color="auto"/>
                        <w:right w:val="none" w:sz="0" w:space="0" w:color="auto"/>
                      </w:divBdr>
                      <w:divsChild>
                        <w:div w:id="1070889881">
                          <w:marLeft w:val="0"/>
                          <w:marRight w:val="0"/>
                          <w:marTop w:val="0"/>
                          <w:marBottom w:val="0"/>
                          <w:divBdr>
                            <w:top w:val="none" w:sz="0" w:space="0" w:color="auto"/>
                            <w:left w:val="none" w:sz="0" w:space="0" w:color="auto"/>
                            <w:bottom w:val="none" w:sz="0" w:space="0" w:color="auto"/>
                            <w:right w:val="none" w:sz="0" w:space="0" w:color="auto"/>
                          </w:divBdr>
                          <w:divsChild>
                            <w:div w:id="165752803">
                              <w:marLeft w:val="0"/>
                              <w:marRight w:val="0"/>
                              <w:marTop w:val="0"/>
                              <w:marBottom w:val="0"/>
                              <w:divBdr>
                                <w:top w:val="none" w:sz="0" w:space="0" w:color="auto"/>
                                <w:left w:val="none" w:sz="0" w:space="0" w:color="auto"/>
                                <w:bottom w:val="none" w:sz="0" w:space="0" w:color="auto"/>
                                <w:right w:val="none" w:sz="0" w:space="0" w:color="auto"/>
                              </w:divBdr>
                              <w:divsChild>
                                <w:div w:id="1985885098">
                                  <w:marLeft w:val="0"/>
                                  <w:marRight w:val="0"/>
                                  <w:marTop w:val="0"/>
                                  <w:marBottom w:val="0"/>
                                  <w:divBdr>
                                    <w:top w:val="none" w:sz="0" w:space="0" w:color="auto"/>
                                    <w:left w:val="none" w:sz="0" w:space="0" w:color="auto"/>
                                    <w:bottom w:val="none" w:sz="0" w:space="0" w:color="auto"/>
                                    <w:right w:val="none" w:sz="0" w:space="0" w:color="auto"/>
                                  </w:divBdr>
                                  <w:divsChild>
                                    <w:div w:id="3371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7539591">
          <w:marLeft w:val="0"/>
          <w:marRight w:val="0"/>
          <w:marTop w:val="0"/>
          <w:marBottom w:val="0"/>
          <w:divBdr>
            <w:top w:val="none" w:sz="0" w:space="0" w:color="auto"/>
            <w:left w:val="none" w:sz="0" w:space="0" w:color="auto"/>
            <w:bottom w:val="none" w:sz="0" w:space="0" w:color="auto"/>
            <w:right w:val="none" w:sz="0" w:space="0" w:color="auto"/>
          </w:divBdr>
          <w:divsChild>
            <w:div w:id="731851804">
              <w:marLeft w:val="0"/>
              <w:marRight w:val="0"/>
              <w:marTop w:val="0"/>
              <w:marBottom w:val="0"/>
              <w:divBdr>
                <w:top w:val="none" w:sz="0" w:space="0" w:color="auto"/>
                <w:left w:val="none" w:sz="0" w:space="0" w:color="auto"/>
                <w:bottom w:val="none" w:sz="0" w:space="0" w:color="auto"/>
                <w:right w:val="none" w:sz="0" w:space="0" w:color="auto"/>
              </w:divBdr>
              <w:divsChild>
                <w:div w:id="1512573744">
                  <w:marLeft w:val="0"/>
                  <w:marRight w:val="0"/>
                  <w:marTop w:val="0"/>
                  <w:marBottom w:val="0"/>
                  <w:divBdr>
                    <w:top w:val="none" w:sz="0" w:space="0" w:color="auto"/>
                    <w:left w:val="none" w:sz="0" w:space="0" w:color="auto"/>
                    <w:bottom w:val="none" w:sz="0" w:space="0" w:color="auto"/>
                    <w:right w:val="none" w:sz="0" w:space="0" w:color="auto"/>
                  </w:divBdr>
                  <w:divsChild>
                    <w:div w:id="1453085754">
                      <w:marLeft w:val="0"/>
                      <w:marRight w:val="0"/>
                      <w:marTop w:val="0"/>
                      <w:marBottom w:val="0"/>
                      <w:divBdr>
                        <w:top w:val="none" w:sz="0" w:space="0" w:color="auto"/>
                        <w:left w:val="none" w:sz="0" w:space="0" w:color="auto"/>
                        <w:bottom w:val="none" w:sz="0" w:space="0" w:color="auto"/>
                        <w:right w:val="none" w:sz="0" w:space="0" w:color="auto"/>
                      </w:divBdr>
                      <w:divsChild>
                        <w:div w:id="108278309">
                          <w:marLeft w:val="0"/>
                          <w:marRight w:val="0"/>
                          <w:marTop w:val="0"/>
                          <w:marBottom w:val="0"/>
                          <w:divBdr>
                            <w:top w:val="none" w:sz="0" w:space="0" w:color="auto"/>
                            <w:left w:val="none" w:sz="0" w:space="0" w:color="auto"/>
                            <w:bottom w:val="none" w:sz="0" w:space="0" w:color="auto"/>
                            <w:right w:val="none" w:sz="0" w:space="0" w:color="auto"/>
                          </w:divBdr>
                          <w:divsChild>
                            <w:div w:id="556479805">
                              <w:marLeft w:val="0"/>
                              <w:marRight w:val="0"/>
                              <w:marTop w:val="0"/>
                              <w:marBottom w:val="0"/>
                              <w:divBdr>
                                <w:top w:val="none" w:sz="0" w:space="0" w:color="auto"/>
                                <w:left w:val="none" w:sz="0" w:space="0" w:color="auto"/>
                                <w:bottom w:val="none" w:sz="0" w:space="0" w:color="auto"/>
                                <w:right w:val="none" w:sz="0" w:space="0" w:color="auto"/>
                              </w:divBdr>
                              <w:divsChild>
                                <w:div w:id="1967737572">
                                  <w:marLeft w:val="0"/>
                                  <w:marRight w:val="0"/>
                                  <w:marTop w:val="0"/>
                                  <w:marBottom w:val="0"/>
                                  <w:divBdr>
                                    <w:top w:val="none" w:sz="0" w:space="0" w:color="auto"/>
                                    <w:left w:val="none" w:sz="0" w:space="0" w:color="auto"/>
                                    <w:bottom w:val="none" w:sz="0" w:space="0" w:color="auto"/>
                                    <w:right w:val="none" w:sz="0" w:space="0" w:color="auto"/>
                                  </w:divBdr>
                                  <w:divsChild>
                                    <w:div w:id="1115709940">
                                      <w:marLeft w:val="0"/>
                                      <w:marRight w:val="0"/>
                                      <w:marTop w:val="0"/>
                                      <w:marBottom w:val="0"/>
                                      <w:divBdr>
                                        <w:top w:val="none" w:sz="0" w:space="0" w:color="auto"/>
                                        <w:left w:val="none" w:sz="0" w:space="0" w:color="auto"/>
                                        <w:bottom w:val="none" w:sz="0" w:space="0" w:color="auto"/>
                                        <w:right w:val="none" w:sz="0" w:space="0" w:color="auto"/>
                                      </w:divBdr>
                                      <w:divsChild>
                                        <w:div w:id="8526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110716">
          <w:marLeft w:val="0"/>
          <w:marRight w:val="0"/>
          <w:marTop w:val="0"/>
          <w:marBottom w:val="0"/>
          <w:divBdr>
            <w:top w:val="none" w:sz="0" w:space="0" w:color="auto"/>
            <w:left w:val="none" w:sz="0" w:space="0" w:color="auto"/>
            <w:bottom w:val="none" w:sz="0" w:space="0" w:color="auto"/>
            <w:right w:val="none" w:sz="0" w:space="0" w:color="auto"/>
          </w:divBdr>
          <w:divsChild>
            <w:div w:id="1511411650">
              <w:marLeft w:val="0"/>
              <w:marRight w:val="0"/>
              <w:marTop w:val="0"/>
              <w:marBottom w:val="0"/>
              <w:divBdr>
                <w:top w:val="none" w:sz="0" w:space="0" w:color="auto"/>
                <w:left w:val="none" w:sz="0" w:space="0" w:color="auto"/>
                <w:bottom w:val="none" w:sz="0" w:space="0" w:color="auto"/>
                <w:right w:val="none" w:sz="0" w:space="0" w:color="auto"/>
              </w:divBdr>
              <w:divsChild>
                <w:div w:id="494298568">
                  <w:marLeft w:val="0"/>
                  <w:marRight w:val="0"/>
                  <w:marTop w:val="0"/>
                  <w:marBottom w:val="0"/>
                  <w:divBdr>
                    <w:top w:val="none" w:sz="0" w:space="0" w:color="auto"/>
                    <w:left w:val="none" w:sz="0" w:space="0" w:color="auto"/>
                    <w:bottom w:val="none" w:sz="0" w:space="0" w:color="auto"/>
                    <w:right w:val="none" w:sz="0" w:space="0" w:color="auto"/>
                  </w:divBdr>
                  <w:divsChild>
                    <w:div w:id="1870297567">
                      <w:marLeft w:val="0"/>
                      <w:marRight w:val="0"/>
                      <w:marTop w:val="0"/>
                      <w:marBottom w:val="0"/>
                      <w:divBdr>
                        <w:top w:val="none" w:sz="0" w:space="0" w:color="auto"/>
                        <w:left w:val="none" w:sz="0" w:space="0" w:color="auto"/>
                        <w:bottom w:val="none" w:sz="0" w:space="0" w:color="auto"/>
                        <w:right w:val="none" w:sz="0" w:space="0" w:color="auto"/>
                      </w:divBdr>
                      <w:divsChild>
                        <w:div w:id="95098838">
                          <w:marLeft w:val="0"/>
                          <w:marRight w:val="0"/>
                          <w:marTop w:val="0"/>
                          <w:marBottom w:val="0"/>
                          <w:divBdr>
                            <w:top w:val="none" w:sz="0" w:space="0" w:color="auto"/>
                            <w:left w:val="none" w:sz="0" w:space="0" w:color="auto"/>
                            <w:bottom w:val="none" w:sz="0" w:space="0" w:color="auto"/>
                            <w:right w:val="none" w:sz="0" w:space="0" w:color="auto"/>
                          </w:divBdr>
                          <w:divsChild>
                            <w:div w:id="1242452230">
                              <w:marLeft w:val="0"/>
                              <w:marRight w:val="0"/>
                              <w:marTop w:val="0"/>
                              <w:marBottom w:val="0"/>
                              <w:divBdr>
                                <w:top w:val="none" w:sz="0" w:space="0" w:color="auto"/>
                                <w:left w:val="none" w:sz="0" w:space="0" w:color="auto"/>
                                <w:bottom w:val="none" w:sz="0" w:space="0" w:color="auto"/>
                                <w:right w:val="none" w:sz="0" w:space="0" w:color="auto"/>
                              </w:divBdr>
                              <w:divsChild>
                                <w:div w:id="205673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095731">
                  <w:marLeft w:val="0"/>
                  <w:marRight w:val="0"/>
                  <w:marTop w:val="0"/>
                  <w:marBottom w:val="0"/>
                  <w:divBdr>
                    <w:top w:val="none" w:sz="0" w:space="0" w:color="auto"/>
                    <w:left w:val="none" w:sz="0" w:space="0" w:color="auto"/>
                    <w:bottom w:val="none" w:sz="0" w:space="0" w:color="auto"/>
                    <w:right w:val="none" w:sz="0" w:space="0" w:color="auto"/>
                  </w:divBdr>
                  <w:divsChild>
                    <w:div w:id="336348642">
                      <w:marLeft w:val="0"/>
                      <w:marRight w:val="0"/>
                      <w:marTop w:val="0"/>
                      <w:marBottom w:val="0"/>
                      <w:divBdr>
                        <w:top w:val="none" w:sz="0" w:space="0" w:color="auto"/>
                        <w:left w:val="none" w:sz="0" w:space="0" w:color="auto"/>
                        <w:bottom w:val="none" w:sz="0" w:space="0" w:color="auto"/>
                        <w:right w:val="none" w:sz="0" w:space="0" w:color="auto"/>
                      </w:divBdr>
                      <w:divsChild>
                        <w:div w:id="594364828">
                          <w:marLeft w:val="0"/>
                          <w:marRight w:val="0"/>
                          <w:marTop w:val="0"/>
                          <w:marBottom w:val="0"/>
                          <w:divBdr>
                            <w:top w:val="none" w:sz="0" w:space="0" w:color="auto"/>
                            <w:left w:val="none" w:sz="0" w:space="0" w:color="auto"/>
                            <w:bottom w:val="none" w:sz="0" w:space="0" w:color="auto"/>
                            <w:right w:val="none" w:sz="0" w:space="0" w:color="auto"/>
                          </w:divBdr>
                          <w:divsChild>
                            <w:div w:id="23363117">
                              <w:marLeft w:val="0"/>
                              <w:marRight w:val="0"/>
                              <w:marTop w:val="0"/>
                              <w:marBottom w:val="0"/>
                              <w:divBdr>
                                <w:top w:val="none" w:sz="0" w:space="0" w:color="auto"/>
                                <w:left w:val="none" w:sz="0" w:space="0" w:color="auto"/>
                                <w:bottom w:val="none" w:sz="0" w:space="0" w:color="auto"/>
                                <w:right w:val="none" w:sz="0" w:space="0" w:color="auto"/>
                              </w:divBdr>
                              <w:divsChild>
                                <w:div w:id="216746453">
                                  <w:marLeft w:val="0"/>
                                  <w:marRight w:val="0"/>
                                  <w:marTop w:val="0"/>
                                  <w:marBottom w:val="0"/>
                                  <w:divBdr>
                                    <w:top w:val="none" w:sz="0" w:space="0" w:color="auto"/>
                                    <w:left w:val="none" w:sz="0" w:space="0" w:color="auto"/>
                                    <w:bottom w:val="none" w:sz="0" w:space="0" w:color="auto"/>
                                    <w:right w:val="none" w:sz="0" w:space="0" w:color="auto"/>
                                  </w:divBdr>
                                  <w:divsChild>
                                    <w:div w:id="124900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780305">
      <w:bodyDiv w:val="1"/>
      <w:marLeft w:val="0"/>
      <w:marRight w:val="0"/>
      <w:marTop w:val="0"/>
      <w:marBottom w:val="0"/>
      <w:divBdr>
        <w:top w:val="none" w:sz="0" w:space="0" w:color="auto"/>
        <w:left w:val="none" w:sz="0" w:space="0" w:color="auto"/>
        <w:bottom w:val="none" w:sz="0" w:space="0" w:color="auto"/>
        <w:right w:val="none" w:sz="0" w:space="0" w:color="auto"/>
      </w:divBdr>
    </w:div>
    <w:div w:id="1308242507">
      <w:bodyDiv w:val="1"/>
      <w:marLeft w:val="0"/>
      <w:marRight w:val="0"/>
      <w:marTop w:val="0"/>
      <w:marBottom w:val="0"/>
      <w:divBdr>
        <w:top w:val="none" w:sz="0" w:space="0" w:color="auto"/>
        <w:left w:val="none" w:sz="0" w:space="0" w:color="auto"/>
        <w:bottom w:val="none" w:sz="0" w:space="0" w:color="auto"/>
        <w:right w:val="none" w:sz="0" w:space="0" w:color="auto"/>
      </w:divBdr>
    </w:div>
    <w:div w:id="1615821596">
      <w:bodyDiv w:val="1"/>
      <w:marLeft w:val="0"/>
      <w:marRight w:val="0"/>
      <w:marTop w:val="0"/>
      <w:marBottom w:val="0"/>
      <w:divBdr>
        <w:top w:val="none" w:sz="0" w:space="0" w:color="auto"/>
        <w:left w:val="none" w:sz="0" w:space="0" w:color="auto"/>
        <w:bottom w:val="none" w:sz="0" w:space="0" w:color="auto"/>
        <w:right w:val="none" w:sz="0" w:space="0" w:color="auto"/>
      </w:divBdr>
      <w:divsChild>
        <w:div w:id="1019351595">
          <w:marLeft w:val="0"/>
          <w:marRight w:val="0"/>
          <w:marTop w:val="0"/>
          <w:marBottom w:val="0"/>
          <w:divBdr>
            <w:top w:val="none" w:sz="0" w:space="0" w:color="auto"/>
            <w:left w:val="none" w:sz="0" w:space="0" w:color="auto"/>
            <w:bottom w:val="none" w:sz="0" w:space="0" w:color="auto"/>
            <w:right w:val="none" w:sz="0" w:space="0" w:color="auto"/>
          </w:divBdr>
          <w:divsChild>
            <w:div w:id="713963435">
              <w:marLeft w:val="0"/>
              <w:marRight w:val="0"/>
              <w:marTop w:val="0"/>
              <w:marBottom w:val="0"/>
              <w:divBdr>
                <w:top w:val="none" w:sz="0" w:space="0" w:color="auto"/>
                <w:left w:val="none" w:sz="0" w:space="0" w:color="auto"/>
                <w:bottom w:val="none" w:sz="0" w:space="0" w:color="auto"/>
                <w:right w:val="none" w:sz="0" w:space="0" w:color="auto"/>
              </w:divBdr>
              <w:divsChild>
                <w:div w:id="2081363353">
                  <w:marLeft w:val="0"/>
                  <w:marRight w:val="0"/>
                  <w:marTop w:val="0"/>
                  <w:marBottom w:val="0"/>
                  <w:divBdr>
                    <w:top w:val="none" w:sz="0" w:space="0" w:color="auto"/>
                    <w:left w:val="none" w:sz="0" w:space="0" w:color="auto"/>
                    <w:bottom w:val="none" w:sz="0" w:space="0" w:color="auto"/>
                    <w:right w:val="none" w:sz="0" w:space="0" w:color="auto"/>
                  </w:divBdr>
                  <w:divsChild>
                    <w:div w:id="1056971511">
                      <w:marLeft w:val="0"/>
                      <w:marRight w:val="0"/>
                      <w:marTop w:val="0"/>
                      <w:marBottom w:val="0"/>
                      <w:divBdr>
                        <w:top w:val="none" w:sz="0" w:space="0" w:color="auto"/>
                        <w:left w:val="none" w:sz="0" w:space="0" w:color="auto"/>
                        <w:bottom w:val="none" w:sz="0" w:space="0" w:color="auto"/>
                        <w:right w:val="none" w:sz="0" w:space="0" w:color="auto"/>
                      </w:divBdr>
                      <w:divsChild>
                        <w:div w:id="1178347551">
                          <w:marLeft w:val="0"/>
                          <w:marRight w:val="0"/>
                          <w:marTop w:val="0"/>
                          <w:marBottom w:val="0"/>
                          <w:divBdr>
                            <w:top w:val="none" w:sz="0" w:space="0" w:color="auto"/>
                            <w:left w:val="none" w:sz="0" w:space="0" w:color="auto"/>
                            <w:bottom w:val="none" w:sz="0" w:space="0" w:color="auto"/>
                            <w:right w:val="none" w:sz="0" w:space="0" w:color="auto"/>
                          </w:divBdr>
                          <w:divsChild>
                            <w:div w:id="620958359">
                              <w:marLeft w:val="0"/>
                              <w:marRight w:val="0"/>
                              <w:marTop w:val="0"/>
                              <w:marBottom w:val="0"/>
                              <w:divBdr>
                                <w:top w:val="none" w:sz="0" w:space="0" w:color="auto"/>
                                <w:left w:val="none" w:sz="0" w:space="0" w:color="auto"/>
                                <w:bottom w:val="none" w:sz="0" w:space="0" w:color="auto"/>
                                <w:right w:val="none" w:sz="0" w:space="0" w:color="auto"/>
                              </w:divBdr>
                              <w:divsChild>
                                <w:div w:id="1612665749">
                                  <w:marLeft w:val="0"/>
                                  <w:marRight w:val="0"/>
                                  <w:marTop w:val="0"/>
                                  <w:marBottom w:val="0"/>
                                  <w:divBdr>
                                    <w:top w:val="none" w:sz="0" w:space="0" w:color="auto"/>
                                    <w:left w:val="none" w:sz="0" w:space="0" w:color="auto"/>
                                    <w:bottom w:val="none" w:sz="0" w:space="0" w:color="auto"/>
                                    <w:right w:val="none" w:sz="0" w:space="0" w:color="auto"/>
                                  </w:divBdr>
                                  <w:divsChild>
                                    <w:div w:id="103353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948597">
          <w:marLeft w:val="0"/>
          <w:marRight w:val="0"/>
          <w:marTop w:val="0"/>
          <w:marBottom w:val="0"/>
          <w:divBdr>
            <w:top w:val="none" w:sz="0" w:space="0" w:color="auto"/>
            <w:left w:val="none" w:sz="0" w:space="0" w:color="auto"/>
            <w:bottom w:val="none" w:sz="0" w:space="0" w:color="auto"/>
            <w:right w:val="none" w:sz="0" w:space="0" w:color="auto"/>
          </w:divBdr>
          <w:divsChild>
            <w:div w:id="1026057486">
              <w:marLeft w:val="0"/>
              <w:marRight w:val="0"/>
              <w:marTop w:val="0"/>
              <w:marBottom w:val="0"/>
              <w:divBdr>
                <w:top w:val="none" w:sz="0" w:space="0" w:color="auto"/>
                <w:left w:val="none" w:sz="0" w:space="0" w:color="auto"/>
                <w:bottom w:val="none" w:sz="0" w:space="0" w:color="auto"/>
                <w:right w:val="none" w:sz="0" w:space="0" w:color="auto"/>
              </w:divBdr>
              <w:divsChild>
                <w:div w:id="225263789">
                  <w:marLeft w:val="0"/>
                  <w:marRight w:val="0"/>
                  <w:marTop w:val="0"/>
                  <w:marBottom w:val="0"/>
                  <w:divBdr>
                    <w:top w:val="none" w:sz="0" w:space="0" w:color="auto"/>
                    <w:left w:val="none" w:sz="0" w:space="0" w:color="auto"/>
                    <w:bottom w:val="none" w:sz="0" w:space="0" w:color="auto"/>
                    <w:right w:val="none" w:sz="0" w:space="0" w:color="auto"/>
                  </w:divBdr>
                  <w:divsChild>
                    <w:div w:id="461046014">
                      <w:marLeft w:val="0"/>
                      <w:marRight w:val="0"/>
                      <w:marTop w:val="0"/>
                      <w:marBottom w:val="0"/>
                      <w:divBdr>
                        <w:top w:val="none" w:sz="0" w:space="0" w:color="auto"/>
                        <w:left w:val="none" w:sz="0" w:space="0" w:color="auto"/>
                        <w:bottom w:val="none" w:sz="0" w:space="0" w:color="auto"/>
                        <w:right w:val="none" w:sz="0" w:space="0" w:color="auto"/>
                      </w:divBdr>
                      <w:divsChild>
                        <w:div w:id="806049909">
                          <w:marLeft w:val="0"/>
                          <w:marRight w:val="0"/>
                          <w:marTop w:val="0"/>
                          <w:marBottom w:val="0"/>
                          <w:divBdr>
                            <w:top w:val="none" w:sz="0" w:space="0" w:color="auto"/>
                            <w:left w:val="none" w:sz="0" w:space="0" w:color="auto"/>
                            <w:bottom w:val="none" w:sz="0" w:space="0" w:color="auto"/>
                            <w:right w:val="none" w:sz="0" w:space="0" w:color="auto"/>
                          </w:divBdr>
                          <w:divsChild>
                            <w:div w:id="1531257239">
                              <w:marLeft w:val="0"/>
                              <w:marRight w:val="0"/>
                              <w:marTop w:val="0"/>
                              <w:marBottom w:val="0"/>
                              <w:divBdr>
                                <w:top w:val="none" w:sz="0" w:space="0" w:color="auto"/>
                                <w:left w:val="none" w:sz="0" w:space="0" w:color="auto"/>
                                <w:bottom w:val="none" w:sz="0" w:space="0" w:color="auto"/>
                                <w:right w:val="none" w:sz="0" w:space="0" w:color="auto"/>
                              </w:divBdr>
                              <w:divsChild>
                                <w:div w:id="1996489193">
                                  <w:marLeft w:val="0"/>
                                  <w:marRight w:val="0"/>
                                  <w:marTop w:val="0"/>
                                  <w:marBottom w:val="0"/>
                                  <w:divBdr>
                                    <w:top w:val="none" w:sz="0" w:space="0" w:color="auto"/>
                                    <w:left w:val="none" w:sz="0" w:space="0" w:color="auto"/>
                                    <w:bottom w:val="none" w:sz="0" w:space="0" w:color="auto"/>
                                    <w:right w:val="none" w:sz="0" w:space="0" w:color="auto"/>
                                  </w:divBdr>
                                  <w:divsChild>
                                    <w:div w:id="1287201444">
                                      <w:marLeft w:val="0"/>
                                      <w:marRight w:val="0"/>
                                      <w:marTop w:val="0"/>
                                      <w:marBottom w:val="0"/>
                                      <w:divBdr>
                                        <w:top w:val="none" w:sz="0" w:space="0" w:color="auto"/>
                                        <w:left w:val="none" w:sz="0" w:space="0" w:color="auto"/>
                                        <w:bottom w:val="none" w:sz="0" w:space="0" w:color="auto"/>
                                        <w:right w:val="none" w:sz="0" w:space="0" w:color="auto"/>
                                      </w:divBdr>
                                      <w:divsChild>
                                        <w:div w:id="36505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8958622">
          <w:marLeft w:val="0"/>
          <w:marRight w:val="0"/>
          <w:marTop w:val="0"/>
          <w:marBottom w:val="0"/>
          <w:divBdr>
            <w:top w:val="none" w:sz="0" w:space="0" w:color="auto"/>
            <w:left w:val="none" w:sz="0" w:space="0" w:color="auto"/>
            <w:bottom w:val="none" w:sz="0" w:space="0" w:color="auto"/>
            <w:right w:val="none" w:sz="0" w:space="0" w:color="auto"/>
          </w:divBdr>
          <w:divsChild>
            <w:div w:id="209190959">
              <w:marLeft w:val="0"/>
              <w:marRight w:val="0"/>
              <w:marTop w:val="0"/>
              <w:marBottom w:val="0"/>
              <w:divBdr>
                <w:top w:val="none" w:sz="0" w:space="0" w:color="auto"/>
                <w:left w:val="none" w:sz="0" w:space="0" w:color="auto"/>
                <w:bottom w:val="none" w:sz="0" w:space="0" w:color="auto"/>
                <w:right w:val="none" w:sz="0" w:space="0" w:color="auto"/>
              </w:divBdr>
              <w:divsChild>
                <w:div w:id="1018312206">
                  <w:marLeft w:val="0"/>
                  <w:marRight w:val="0"/>
                  <w:marTop w:val="0"/>
                  <w:marBottom w:val="0"/>
                  <w:divBdr>
                    <w:top w:val="none" w:sz="0" w:space="0" w:color="auto"/>
                    <w:left w:val="none" w:sz="0" w:space="0" w:color="auto"/>
                    <w:bottom w:val="none" w:sz="0" w:space="0" w:color="auto"/>
                    <w:right w:val="none" w:sz="0" w:space="0" w:color="auto"/>
                  </w:divBdr>
                  <w:divsChild>
                    <w:div w:id="1610509514">
                      <w:marLeft w:val="0"/>
                      <w:marRight w:val="0"/>
                      <w:marTop w:val="0"/>
                      <w:marBottom w:val="0"/>
                      <w:divBdr>
                        <w:top w:val="none" w:sz="0" w:space="0" w:color="auto"/>
                        <w:left w:val="none" w:sz="0" w:space="0" w:color="auto"/>
                        <w:bottom w:val="none" w:sz="0" w:space="0" w:color="auto"/>
                        <w:right w:val="none" w:sz="0" w:space="0" w:color="auto"/>
                      </w:divBdr>
                      <w:divsChild>
                        <w:div w:id="1882593427">
                          <w:marLeft w:val="0"/>
                          <w:marRight w:val="0"/>
                          <w:marTop w:val="0"/>
                          <w:marBottom w:val="0"/>
                          <w:divBdr>
                            <w:top w:val="none" w:sz="0" w:space="0" w:color="auto"/>
                            <w:left w:val="none" w:sz="0" w:space="0" w:color="auto"/>
                            <w:bottom w:val="none" w:sz="0" w:space="0" w:color="auto"/>
                            <w:right w:val="none" w:sz="0" w:space="0" w:color="auto"/>
                          </w:divBdr>
                          <w:divsChild>
                            <w:div w:id="649403877">
                              <w:marLeft w:val="0"/>
                              <w:marRight w:val="0"/>
                              <w:marTop w:val="0"/>
                              <w:marBottom w:val="0"/>
                              <w:divBdr>
                                <w:top w:val="none" w:sz="0" w:space="0" w:color="auto"/>
                                <w:left w:val="none" w:sz="0" w:space="0" w:color="auto"/>
                                <w:bottom w:val="none" w:sz="0" w:space="0" w:color="auto"/>
                                <w:right w:val="none" w:sz="0" w:space="0" w:color="auto"/>
                              </w:divBdr>
                              <w:divsChild>
                                <w:div w:id="107000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80279">
                  <w:marLeft w:val="0"/>
                  <w:marRight w:val="0"/>
                  <w:marTop w:val="0"/>
                  <w:marBottom w:val="0"/>
                  <w:divBdr>
                    <w:top w:val="none" w:sz="0" w:space="0" w:color="auto"/>
                    <w:left w:val="none" w:sz="0" w:space="0" w:color="auto"/>
                    <w:bottom w:val="none" w:sz="0" w:space="0" w:color="auto"/>
                    <w:right w:val="none" w:sz="0" w:space="0" w:color="auto"/>
                  </w:divBdr>
                  <w:divsChild>
                    <w:div w:id="2073040605">
                      <w:marLeft w:val="0"/>
                      <w:marRight w:val="0"/>
                      <w:marTop w:val="0"/>
                      <w:marBottom w:val="0"/>
                      <w:divBdr>
                        <w:top w:val="none" w:sz="0" w:space="0" w:color="auto"/>
                        <w:left w:val="none" w:sz="0" w:space="0" w:color="auto"/>
                        <w:bottom w:val="none" w:sz="0" w:space="0" w:color="auto"/>
                        <w:right w:val="none" w:sz="0" w:space="0" w:color="auto"/>
                      </w:divBdr>
                      <w:divsChild>
                        <w:div w:id="1180506804">
                          <w:marLeft w:val="0"/>
                          <w:marRight w:val="0"/>
                          <w:marTop w:val="0"/>
                          <w:marBottom w:val="0"/>
                          <w:divBdr>
                            <w:top w:val="none" w:sz="0" w:space="0" w:color="auto"/>
                            <w:left w:val="none" w:sz="0" w:space="0" w:color="auto"/>
                            <w:bottom w:val="none" w:sz="0" w:space="0" w:color="auto"/>
                            <w:right w:val="none" w:sz="0" w:space="0" w:color="auto"/>
                          </w:divBdr>
                          <w:divsChild>
                            <w:div w:id="1266229872">
                              <w:marLeft w:val="0"/>
                              <w:marRight w:val="0"/>
                              <w:marTop w:val="0"/>
                              <w:marBottom w:val="0"/>
                              <w:divBdr>
                                <w:top w:val="none" w:sz="0" w:space="0" w:color="auto"/>
                                <w:left w:val="none" w:sz="0" w:space="0" w:color="auto"/>
                                <w:bottom w:val="none" w:sz="0" w:space="0" w:color="auto"/>
                                <w:right w:val="none" w:sz="0" w:space="0" w:color="auto"/>
                              </w:divBdr>
                              <w:divsChild>
                                <w:div w:id="580681061">
                                  <w:marLeft w:val="0"/>
                                  <w:marRight w:val="0"/>
                                  <w:marTop w:val="0"/>
                                  <w:marBottom w:val="0"/>
                                  <w:divBdr>
                                    <w:top w:val="none" w:sz="0" w:space="0" w:color="auto"/>
                                    <w:left w:val="none" w:sz="0" w:space="0" w:color="auto"/>
                                    <w:bottom w:val="none" w:sz="0" w:space="0" w:color="auto"/>
                                    <w:right w:val="none" w:sz="0" w:space="0" w:color="auto"/>
                                  </w:divBdr>
                                  <w:divsChild>
                                    <w:div w:id="158572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724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mariannehutten/Downloads/22_412%20CvdRvdM%20Handreiking%20Provincies,%20gemeenten%20en%20het%20VN-verdrag%20handicap_DigiT.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2e85f0-c697-4035-87f8-82e4de1f33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6D4B2153ADDF14B9BADC8E2E29D0930" ma:contentTypeVersion="15" ma:contentTypeDescription="Een nieuw document maken." ma:contentTypeScope="" ma:versionID="bc44908d34d042863f7f8aae21535dc9">
  <xsd:schema xmlns:xsd="http://www.w3.org/2001/XMLSchema" xmlns:xs="http://www.w3.org/2001/XMLSchema" xmlns:p="http://schemas.microsoft.com/office/2006/metadata/properties" xmlns:ns3="9f2e85f0-c697-4035-87f8-82e4de1f3336" xmlns:ns4="88028262-fe9c-4599-9530-2e2e8bb1ea8e" targetNamespace="http://schemas.microsoft.com/office/2006/metadata/properties" ma:root="true" ma:fieldsID="dd55dac37b0344f2ea30209c0c055cdb" ns3:_="" ns4:_="">
    <xsd:import namespace="9f2e85f0-c697-4035-87f8-82e4de1f3336"/>
    <xsd:import namespace="88028262-fe9c-4599-9530-2e2e8bb1ea8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ServiceLocation"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e85f0-c697-4035-87f8-82e4de1f3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028262-fe9c-4599-9530-2e2e8bb1ea8e"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F47C29-49B8-409A-B8A1-CCF411238C5C}">
  <ds:schemaRefs>
    <ds:schemaRef ds:uri="http://schemas.openxmlformats.org/officeDocument/2006/bibliography"/>
  </ds:schemaRefs>
</ds:datastoreItem>
</file>

<file path=customXml/itemProps2.xml><?xml version="1.0" encoding="utf-8"?>
<ds:datastoreItem xmlns:ds="http://schemas.openxmlformats.org/officeDocument/2006/customXml" ds:itemID="{A515A170-F734-4D53-97B9-A919771577F5}">
  <ds:schemaRefs>
    <ds:schemaRef ds:uri="http://schemas.microsoft.com/sharepoint/v3/contenttype/forms"/>
  </ds:schemaRefs>
</ds:datastoreItem>
</file>

<file path=customXml/itemProps3.xml><?xml version="1.0" encoding="utf-8"?>
<ds:datastoreItem xmlns:ds="http://schemas.openxmlformats.org/officeDocument/2006/customXml" ds:itemID="{13AC1618-4E0C-4D2A-AD5F-B6817E4F409A}">
  <ds:schemaRefs>
    <ds:schemaRef ds:uri="http://schemas.microsoft.com/office/2006/metadata/properties"/>
    <ds:schemaRef ds:uri="http://schemas.microsoft.com/office/infopath/2007/PartnerControls"/>
    <ds:schemaRef ds:uri="9f2e85f0-c697-4035-87f8-82e4de1f3336"/>
  </ds:schemaRefs>
</ds:datastoreItem>
</file>

<file path=customXml/itemProps4.xml><?xml version="1.0" encoding="utf-8"?>
<ds:datastoreItem xmlns:ds="http://schemas.openxmlformats.org/officeDocument/2006/customXml" ds:itemID="{2C51B393-43D3-418B-8A82-0642B9BBD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e85f0-c697-4035-87f8-82e4de1f3336"/>
    <ds:schemaRef ds:uri="88028262-fe9c-4599-9530-2e2e8bb1e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a3cd584-520c-43d1-b41b-f9807ac89bfe}" enabled="0" method="" siteId="{ea3cd584-520c-43d1-b41b-f9807ac89bfe}" removed="1"/>
</clbl:labelList>
</file>

<file path=docProps/app.xml><?xml version="1.0" encoding="utf-8"?>
<Properties xmlns="http://schemas.openxmlformats.org/officeDocument/2006/extended-properties" xmlns:vt="http://schemas.openxmlformats.org/officeDocument/2006/docPropsVTypes">
  <Template>Normal</Template>
  <TotalTime>9</TotalTime>
  <Pages>5</Pages>
  <Words>2127</Words>
  <Characters>11699</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Marije Averdijk</dc:creator>
  <cp:keywords/>
  <dc:description/>
  <cp:lastModifiedBy>Hutten, M. (Marianne) [Raad]</cp:lastModifiedBy>
  <cp:revision>3</cp:revision>
  <cp:lastPrinted>2016-04-05T17:31:00Z</cp:lastPrinted>
  <dcterms:created xsi:type="dcterms:W3CDTF">2025-01-13T10:20:00Z</dcterms:created>
  <dcterms:modified xsi:type="dcterms:W3CDTF">2025-01-13T10:20:00Z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0x01010056D4B2153ADDF14B9BADC8E2E29D0930</vt:lpwstr>
  </property>
</Properties>
</file>